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9D" w:rsidRDefault="00931383" w:rsidP="006E799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99D" w:rsidRDefault="006E799D" w:rsidP="006E799D">
      <w:pPr>
        <w:jc w:val="center"/>
        <w:rPr>
          <w:lang w:val="en-US"/>
        </w:rPr>
      </w:pPr>
    </w:p>
    <w:p w:rsidR="006E799D" w:rsidRDefault="006E799D" w:rsidP="006E799D">
      <w:pPr>
        <w:jc w:val="center"/>
        <w:rPr>
          <w:lang w:val="en-US"/>
        </w:rPr>
      </w:pPr>
    </w:p>
    <w:p w:rsidR="006E799D" w:rsidRDefault="006E799D" w:rsidP="006E799D">
      <w:pPr>
        <w:jc w:val="center"/>
        <w:rPr>
          <w:lang w:val="en-US"/>
        </w:rPr>
      </w:pPr>
    </w:p>
    <w:p w:rsidR="006E799D" w:rsidRDefault="006E799D" w:rsidP="006E799D">
      <w:pPr>
        <w:jc w:val="center"/>
        <w:rPr>
          <w:lang w:val="en-US"/>
        </w:rPr>
      </w:pPr>
    </w:p>
    <w:p w:rsidR="006E799D" w:rsidRDefault="006E799D" w:rsidP="006E799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E799D" w:rsidTr="004E187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E799D" w:rsidRDefault="006E799D" w:rsidP="004E187A">
            <w:pPr>
              <w:pStyle w:val="7"/>
            </w:pPr>
            <w:r>
              <w:t>ПОСТАНОВЛЕНИЕ</w:t>
            </w:r>
          </w:p>
          <w:p w:rsidR="006E799D" w:rsidRDefault="006E799D" w:rsidP="004E187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E799D" w:rsidTr="004E187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E799D" w:rsidRDefault="00931383" w:rsidP="004E187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99D" w:rsidRDefault="006E799D" w:rsidP="006E799D">
                                  <w:r>
                                    <w:t>1141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E799D" w:rsidRDefault="006E799D" w:rsidP="006E799D">
                            <w:r>
                              <w:t>1141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99D" w:rsidRDefault="006E799D" w:rsidP="006E799D">
                                  <w:r>
                                    <w:t>01.08.2016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E799D" w:rsidRDefault="006E799D" w:rsidP="006E799D">
                            <w:r>
                              <w:t>01.08.2016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799D">
              <w:rPr>
                <w:rFonts w:ascii="Courier New" w:hAnsi="Courier New" w:cs="Courier New"/>
              </w:rPr>
              <w:t>от              №</w:t>
            </w:r>
          </w:p>
          <w:p w:rsidR="006E799D" w:rsidRDefault="006E799D" w:rsidP="004E187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E799D" w:rsidTr="004E187A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E799D" w:rsidRDefault="006E799D" w:rsidP="004E187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E799D" w:rsidRDefault="006E799D" w:rsidP="004E187A">
            <w:pPr>
              <w:spacing w:after="240"/>
              <w:ind w:left="539"/>
              <w:jc w:val="center"/>
            </w:pPr>
          </w:p>
        </w:tc>
      </w:tr>
      <w:tr w:rsidR="006E799D" w:rsidRPr="006E799D" w:rsidTr="004E187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E799D" w:rsidRPr="006E799D" w:rsidRDefault="006E799D" w:rsidP="006E799D">
            <w:pPr>
              <w:jc w:val="both"/>
              <w:rPr>
                <w:sz w:val="28"/>
                <w:szCs w:val="28"/>
              </w:rPr>
            </w:pPr>
            <w:r w:rsidRPr="006E799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6E799D">
              <w:rPr>
                <w:sz w:val="28"/>
                <w:szCs w:val="28"/>
              </w:rPr>
              <w:t xml:space="preserve"> утверждении Порядка предоставления субсидии  из бюджета Невельского городского округа юридическим лицам (за исключением субсидий государственным (муниципальным) учреждениям) и индивидуальным предпринимателям – производителям работ (услуг), на возмещение затрат, связанных с проведением работ по предупреждению возникновения чрезвычайных ситуаций на территории </w:t>
            </w:r>
            <w:r>
              <w:rPr>
                <w:sz w:val="28"/>
                <w:szCs w:val="28"/>
              </w:rPr>
              <w:t>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6E799D" w:rsidRPr="006E799D" w:rsidRDefault="006E799D" w:rsidP="006E799D">
            <w:pPr>
              <w:jc w:val="both"/>
              <w:rPr>
                <w:sz w:val="28"/>
                <w:szCs w:val="28"/>
              </w:rPr>
            </w:pPr>
          </w:p>
        </w:tc>
      </w:tr>
      <w:tr w:rsidR="006E799D" w:rsidRPr="006E799D" w:rsidTr="004E187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E799D" w:rsidRPr="006E799D" w:rsidRDefault="006E799D" w:rsidP="006E799D">
            <w:pPr>
              <w:jc w:val="both"/>
              <w:rPr>
                <w:sz w:val="28"/>
                <w:szCs w:val="28"/>
              </w:rPr>
            </w:pPr>
          </w:p>
        </w:tc>
      </w:tr>
    </w:tbl>
    <w:p w:rsidR="006E799D" w:rsidRPr="006E799D" w:rsidRDefault="006E799D" w:rsidP="006E799D">
      <w:pPr>
        <w:ind w:firstLine="708"/>
        <w:jc w:val="both"/>
        <w:rPr>
          <w:sz w:val="28"/>
          <w:szCs w:val="28"/>
        </w:rPr>
      </w:pPr>
      <w:r w:rsidRPr="006E799D">
        <w:rPr>
          <w:sz w:val="28"/>
          <w:szCs w:val="28"/>
        </w:rPr>
        <w:t>В соответствии со,ст. 78 Бюджетного кодекса Российской Федерации, руководствуясь статьями 44, 45 Устава муниципального образования «Невельский городской округ», администрация Невельского городского округа</w:t>
      </w:r>
    </w:p>
    <w:p w:rsidR="006E799D" w:rsidRPr="006E799D" w:rsidRDefault="006E799D" w:rsidP="006E799D">
      <w:pPr>
        <w:jc w:val="both"/>
        <w:rPr>
          <w:sz w:val="28"/>
          <w:szCs w:val="28"/>
        </w:rPr>
      </w:pPr>
    </w:p>
    <w:p w:rsidR="006E799D" w:rsidRPr="006E799D" w:rsidRDefault="006E799D" w:rsidP="006E799D">
      <w:pPr>
        <w:jc w:val="both"/>
        <w:rPr>
          <w:sz w:val="28"/>
          <w:szCs w:val="28"/>
        </w:rPr>
      </w:pPr>
      <w:r w:rsidRPr="006E799D">
        <w:rPr>
          <w:sz w:val="28"/>
          <w:szCs w:val="28"/>
        </w:rPr>
        <w:t>ПОСТАНОВЛЯЕТ:</w:t>
      </w:r>
    </w:p>
    <w:p w:rsidR="006E799D" w:rsidRPr="006E799D" w:rsidRDefault="006E799D" w:rsidP="006E799D">
      <w:pPr>
        <w:jc w:val="both"/>
        <w:rPr>
          <w:sz w:val="28"/>
          <w:szCs w:val="28"/>
        </w:rPr>
      </w:pPr>
    </w:p>
    <w:p w:rsidR="006E799D" w:rsidRPr="006E799D" w:rsidRDefault="006E799D" w:rsidP="006E799D">
      <w:pPr>
        <w:ind w:firstLine="708"/>
        <w:jc w:val="both"/>
        <w:rPr>
          <w:sz w:val="28"/>
          <w:szCs w:val="28"/>
        </w:rPr>
      </w:pPr>
      <w:r w:rsidRPr="006E799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E799D">
        <w:rPr>
          <w:sz w:val="28"/>
          <w:szCs w:val="28"/>
        </w:rPr>
        <w:t xml:space="preserve">Утвердить Порядок предоставления субсидии  из бюджета Невельского городского округа юридическим лицам (за исключением субсидий государственным (муниципальным) учреждениям) и индивидуальным предпринимателям – производителям работ (услуг), на возмещение затрат, связанных с проведением работ по предупреждению </w:t>
      </w:r>
      <w:r w:rsidRPr="006E799D">
        <w:rPr>
          <w:sz w:val="28"/>
          <w:szCs w:val="28"/>
        </w:rPr>
        <w:lastRenderedPageBreak/>
        <w:t>возникновения чрезвычайных ситуаций на территории МО «Невельский городской округ» (прилагается).</w:t>
      </w:r>
    </w:p>
    <w:p w:rsidR="006E799D" w:rsidRPr="006E799D" w:rsidRDefault="006E799D" w:rsidP="006E799D">
      <w:pPr>
        <w:ind w:firstLine="708"/>
        <w:jc w:val="both"/>
        <w:rPr>
          <w:sz w:val="28"/>
          <w:szCs w:val="28"/>
        </w:rPr>
      </w:pPr>
      <w:r w:rsidRPr="006E799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E799D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округа» и газете «Невельские новости».</w:t>
      </w:r>
    </w:p>
    <w:p w:rsidR="006E799D" w:rsidRPr="006E799D" w:rsidRDefault="006E799D" w:rsidP="006E799D">
      <w:pPr>
        <w:ind w:firstLine="708"/>
        <w:jc w:val="both"/>
        <w:rPr>
          <w:sz w:val="28"/>
          <w:szCs w:val="28"/>
        </w:rPr>
      </w:pPr>
      <w:r w:rsidRPr="006E799D">
        <w:rPr>
          <w:sz w:val="28"/>
          <w:szCs w:val="28"/>
        </w:rPr>
        <w:t>3. Контроль за исполнением настоящего постановления возложить на первого – вице мэра Невельского городского округа Пан В. Ч.</w:t>
      </w:r>
    </w:p>
    <w:p w:rsidR="006E799D" w:rsidRPr="006E799D" w:rsidRDefault="006E799D" w:rsidP="006E799D">
      <w:pPr>
        <w:jc w:val="both"/>
        <w:rPr>
          <w:sz w:val="28"/>
          <w:szCs w:val="28"/>
        </w:rPr>
      </w:pPr>
    </w:p>
    <w:p w:rsidR="006E799D" w:rsidRPr="006E799D" w:rsidRDefault="006E799D" w:rsidP="006E799D">
      <w:pPr>
        <w:jc w:val="both"/>
        <w:rPr>
          <w:sz w:val="28"/>
          <w:szCs w:val="28"/>
        </w:rPr>
      </w:pPr>
    </w:p>
    <w:p w:rsidR="006E799D" w:rsidRPr="006E799D" w:rsidRDefault="006E799D" w:rsidP="006E799D">
      <w:pPr>
        <w:jc w:val="both"/>
        <w:rPr>
          <w:sz w:val="28"/>
          <w:szCs w:val="28"/>
        </w:rPr>
      </w:pPr>
    </w:p>
    <w:p w:rsidR="006E799D" w:rsidRPr="006E799D" w:rsidRDefault="006E799D" w:rsidP="006E799D">
      <w:pPr>
        <w:jc w:val="both"/>
        <w:rPr>
          <w:sz w:val="28"/>
          <w:szCs w:val="28"/>
        </w:rPr>
      </w:pPr>
      <w:r w:rsidRPr="006E799D">
        <w:rPr>
          <w:sz w:val="28"/>
          <w:szCs w:val="28"/>
        </w:rPr>
        <w:t xml:space="preserve">Мэр Невельского городского округа </w:t>
      </w:r>
      <w:r w:rsidRPr="006E799D">
        <w:rPr>
          <w:sz w:val="28"/>
          <w:szCs w:val="28"/>
        </w:rPr>
        <w:tab/>
      </w:r>
      <w:r w:rsidRPr="006E799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799D">
        <w:rPr>
          <w:sz w:val="28"/>
          <w:szCs w:val="28"/>
        </w:rPr>
        <w:tab/>
        <w:t>В. Н. Пак</w:t>
      </w: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right="99"/>
        <w:jc w:val="both"/>
        <w:rPr>
          <w:sz w:val="25"/>
          <w:szCs w:val="25"/>
        </w:rPr>
      </w:pPr>
    </w:p>
    <w:p w:rsidR="006E799D" w:rsidRDefault="006E799D" w:rsidP="006E799D">
      <w:pPr>
        <w:ind w:left="6096"/>
        <w:jc w:val="right"/>
        <w:outlineLvl w:val="1"/>
        <w:rPr>
          <w:sz w:val="25"/>
          <w:szCs w:val="25"/>
        </w:rPr>
      </w:pPr>
      <w:r>
        <w:rPr>
          <w:sz w:val="25"/>
          <w:szCs w:val="25"/>
        </w:rPr>
        <w:lastRenderedPageBreak/>
        <w:t>Утвержден</w:t>
      </w:r>
    </w:p>
    <w:p w:rsidR="006E799D" w:rsidRDefault="006E799D" w:rsidP="006E799D">
      <w:pPr>
        <w:jc w:val="right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постановлением </w:t>
      </w:r>
      <w:r w:rsidRPr="00E33FC5">
        <w:rPr>
          <w:sz w:val="25"/>
          <w:szCs w:val="25"/>
        </w:rPr>
        <w:t xml:space="preserve">администрации </w:t>
      </w:r>
    </w:p>
    <w:p w:rsidR="006E799D" w:rsidRDefault="006E799D" w:rsidP="006E799D">
      <w:pPr>
        <w:jc w:val="right"/>
        <w:outlineLvl w:val="1"/>
        <w:rPr>
          <w:sz w:val="25"/>
          <w:szCs w:val="25"/>
        </w:rPr>
      </w:pPr>
      <w:r w:rsidRPr="00E33FC5">
        <w:rPr>
          <w:sz w:val="25"/>
          <w:szCs w:val="25"/>
        </w:rPr>
        <w:t xml:space="preserve">Невельского городского округа </w:t>
      </w:r>
    </w:p>
    <w:p w:rsidR="006E799D" w:rsidRDefault="006E799D" w:rsidP="006E799D">
      <w:pPr>
        <w:ind w:left="6096"/>
        <w:jc w:val="right"/>
        <w:outlineLvl w:val="1"/>
        <w:rPr>
          <w:sz w:val="25"/>
          <w:szCs w:val="25"/>
        </w:rPr>
      </w:pPr>
      <w:r>
        <w:rPr>
          <w:sz w:val="25"/>
          <w:szCs w:val="25"/>
        </w:rPr>
        <w:t>от 01.08.2016г.  № 1141</w:t>
      </w:r>
    </w:p>
    <w:p w:rsidR="006E799D" w:rsidRPr="00E33FC5" w:rsidRDefault="006E799D" w:rsidP="006E799D">
      <w:pPr>
        <w:jc w:val="both"/>
        <w:outlineLvl w:val="1"/>
        <w:rPr>
          <w:sz w:val="25"/>
          <w:szCs w:val="25"/>
        </w:rPr>
      </w:pPr>
    </w:p>
    <w:p w:rsidR="006E799D" w:rsidRPr="006E799D" w:rsidRDefault="006E799D" w:rsidP="006E799D">
      <w:pPr>
        <w:ind w:left="720"/>
        <w:jc w:val="center"/>
        <w:outlineLvl w:val="1"/>
        <w:rPr>
          <w:b/>
          <w:bCs/>
          <w:sz w:val="25"/>
          <w:szCs w:val="25"/>
        </w:rPr>
      </w:pPr>
      <w:r w:rsidRPr="006E799D">
        <w:rPr>
          <w:b/>
          <w:bCs/>
          <w:sz w:val="25"/>
          <w:szCs w:val="25"/>
        </w:rPr>
        <w:t>Порядок</w:t>
      </w:r>
    </w:p>
    <w:p w:rsidR="006E799D" w:rsidRPr="006E799D" w:rsidRDefault="006E799D" w:rsidP="006E799D">
      <w:pPr>
        <w:ind w:left="720"/>
        <w:jc w:val="center"/>
        <w:outlineLvl w:val="1"/>
        <w:rPr>
          <w:b/>
          <w:bCs/>
          <w:sz w:val="25"/>
          <w:szCs w:val="25"/>
        </w:rPr>
      </w:pPr>
      <w:r w:rsidRPr="006E799D">
        <w:rPr>
          <w:b/>
          <w:bCs/>
          <w:sz w:val="25"/>
          <w:szCs w:val="25"/>
        </w:rPr>
        <w:t>предоставления субсидии  из бюджета Невельского городского округа юридическим лицам (за исключением субсидий государственным (муниципальным) учреждениям) и индивидуальным предпринимателям – производителям работ (услуг), на возмещение затрат, связанных с проведением работ по предупреждению возникновения чрезвычайных ситуаций на территории МО «Невельский городской округ»</w:t>
      </w:r>
    </w:p>
    <w:p w:rsidR="006E799D" w:rsidRPr="00E33FC5" w:rsidRDefault="006E799D" w:rsidP="006E799D">
      <w:pPr>
        <w:ind w:left="720"/>
        <w:jc w:val="both"/>
        <w:outlineLvl w:val="1"/>
        <w:rPr>
          <w:b/>
          <w:bCs/>
          <w:sz w:val="25"/>
          <w:szCs w:val="25"/>
        </w:rPr>
      </w:pPr>
    </w:p>
    <w:p w:rsidR="006E799D" w:rsidRDefault="006E799D" w:rsidP="006E799D">
      <w:pPr>
        <w:jc w:val="center"/>
        <w:rPr>
          <w:b/>
          <w:bCs/>
          <w:sz w:val="25"/>
          <w:szCs w:val="25"/>
        </w:rPr>
      </w:pPr>
      <w:r w:rsidRPr="00E33FC5">
        <w:rPr>
          <w:b/>
          <w:bCs/>
          <w:sz w:val="25"/>
          <w:szCs w:val="25"/>
        </w:rPr>
        <w:t>1.Общие положения</w:t>
      </w:r>
    </w:p>
    <w:p w:rsidR="006E799D" w:rsidRPr="00E33FC5" w:rsidRDefault="006E799D" w:rsidP="006E799D">
      <w:pPr>
        <w:jc w:val="center"/>
        <w:rPr>
          <w:b/>
          <w:bCs/>
          <w:sz w:val="25"/>
          <w:szCs w:val="25"/>
        </w:rPr>
      </w:pP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 w:rsidRPr="00E33FC5">
        <w:rPr>
          <w:sz w:val="25"/>
          <w:szCs w:val="25"/>
        </w:rPr>
        <w:t>1</w:t>
      </w:r>
      <w:r w:rsidRPr="00F9108D">
        <w:rPr>
          <w:sz w:val="25"/>
          <w:szCs w:val="25"/>
        </w:rPr>
        <w:t>.1.На</w:t>
      </w:r>
      <w:r>
        <w:rPr>
          <w:sz w:val="25"/>
          <w:szCs w:val="25"/>
        </w:rPr>
        <w:t xml:space="preserve">стоящий Порядок определяет цели, условия и порядок предоставления субсидии из </w:t>
      </w:r>
      <w:r w:rsidRPr="00F9108D">
        <w:rPr>
          <w:sz w:val="25"/>
          <w:szCs w:val="25"/>
        </w:rPr>
        <w:t>бюджета Невельского городского округа</w:t>
      </w:r>
      <w:r>
        <w:rPr>
          <w:sz w:val="25"/>
          <w:szCs w:val="25"/>
        </w:rPr>
        <w:t>, на возмещение затрат, связанных с проведением работ по предупреждению возникновения чрезвычайных ситуаций (далее – субсидия), категорию юридических лиц (за исключением государственных (муниципальных) учреждений) имеющих право на получение субсидии, порядок возврата субсидии в случае нарушения условий, установленных при ее предоставлении, а также положение об обязательной проверке указанных лиц.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1.2.  Целью предоставления субсидии является возмещение затрат, связанных с проведением работ по предупреждению возникновения чрезвычайной ситуации на территории МО «Невельский городской округ» в связи с поднятием затонувшего объекта (танкера «Надежда» ).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1.3. Главным распорядителем бюджетных средств, предусмотренных на предоставление Субсидии, является отдел жилищного и  коммунального хозяйства администрации Невельского городского округа.</w:t>
      </w:r>
    </w:p>
    <w:p w:rsidR="006E799D" w:rsidRPr="00E33FC5" w:rsidRDefault="006E799D" w:rsidP="006E799D">
      <w:pPr>
        <w:tabs>
          <w:tab w:val="left" w:pos="6885"/>
        </w:tabs>
        <w:jc w:val="both"/>
        <w:rPr>
          <w:sz w:val="25"/>
          <w:szCs w:val="25"/>
        </w:rPr>
      </w:pPr>
    </w:p>
    <w:p w:rsidR="006E799D" w:rsidRDefault="006E799D" w:rsidP="006E799D">
      <w:pPr>
        <w:tabs>
          <w:tab w:val="left" w:pos="6885"/>
        </w:tabs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2. Категория получателей субсидии</w:t>
      </w:r>
    </w:p>
    <w:p w:rsidR="006E799D" w:rsidRPr="00E33FC5" w:rsidRDefault="006E799D" w:rsidP="006E799D">
      <w:pPr>
        <w:tabs>
          <w:tab w:val="left" w:pos="6885"/>
        </w:tabs>
        <w:jc w:val="center"/>
        <w:rPr>
          <w:b/>
          <w:bCs/>
          <w:sz w:val="25"/>
          <w:szCs w:val="25"/>
        </w:rPr>
      </w:pP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 w:rsidRPr="00E33FC5">
        <w:rPr>
          <w:sz w:val="25"/>
          <w:szCs w:val="25"/>
        </w:rPr>
        <w:t>2.1.</w:t>
      </w:r>
      <w:r w:rsidRPr="000F407E">
        <w:rPr>
          <w:sz w:val="25"/>
          <w:szCs w:val="25"/>
        </w:rPr>
        <w:t xml:space="preserve">Право на получение субсидии имеют </w:t>
      </w:r>
      <w:r>
        <w:rPr>
          <w:sz w:val="25"/>
          <w:szCs w:val="25"/>
        </w:rPr>
        <w:t>юридические лица и индивидуальные предприниматели, заключившие с владельцем танкера «Надежда» гражданско – правовых договоров, связанные с подъемом и удалением из морской среды  морского судна.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</w:p>
    <w:p w:rsidR="006E799D" w:rsidRPr="00E33FC5" w:rsidRDefault="006E799D" w:rsidP="006E799D">
      <w:pPr>
        <w:jc w:val="both"/>
        <w:rPr>
          <w:sz w:val="25"/>
          <w:szCs w:val="25"/>
        </w:rPr>
      </w:pPr>
    </w:p>
    <w:p w:rsidR="006E799D" w:rsidRDefault="006E799D" w:rsidP="006E799D">
      <w:pPr>
        <w:ind w:firstLine="70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3</w:t>
      </w:r>
      <w:r w:rsidRPr="00C771A3">
        <w:rPr>
          <w:b/>
          <w:bCs/>
          <w:sz w:val="25"/>
          <w:szCs w:val="25"/>
        </w:rPr>
        <w:t xml:space="preserve">. </w:t>
      </w:r>
      <w:r>
        <w:rPr>
          <w:b/>
          <w:bCs/>
          <w:sz w:val="25"/>
          <w:szCs w:val="25"/>
        </w:rPr>
        <w:t>Цели, условия и порядок предоставления Субсидии</w:t>
      </w:r>
    </w:p>
    <w:p w:rsidR="006E799D" w:rsidRPr="00803339" w:rsidRDefault="006E799D" w:rsidP="006E799D">
      <w:pPr>
        <w:ind w:firstLine="708"/>
        <w:jc w:val="both"/>
        <w:rPr>
          <w:sz w:val="25"/>
          <w:szCs w:val="25"/>
        </w:rPr>
      </w:pPr>
    </w:p>
    <w:p w:rsidR="006E799D" w:rsidRPr="00803339" w:rsidRDefault="006E799D" w:rsidP="006E799D">
      <w:pPr>
        <w:ind w:firstLine="708"/>
        <w:jc w:val="both"/>
        <w:rPr>
          <w:sz w:val="25"/>
          <w:szCs w:val="25"/>
        </w:rPr>
      </w:pPr>
      <w:r w:rsidRPr="00803339">
        <w:rPr>
          <w:sz w:val="25"/>
          <w:szCs w:val="25"/>
        </w:rPr>
        <w:t>3.1. Субсидия предоставляется в целях</w:t>
      </w:r>
      <w:r>
        <w:rPr>
          <w:sz w:val="25"/>
          <w:szCs w:val="25"/>
        </w:rPr>
        <w:t xml:space="preserve"> возмещения затрат, связанных с проведением работ по предупреждению возникновения чрезвычайной ситуации на территории МО «Невельский городской округ» в связи с поднятием затонувшего объекта ( танкера «Надежда» ).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3.2. Условиями получения субсидии являются: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3.2.1. Принадлежность к категории юридических лиц, имеющих право на получение субсидии, установленной в разделе 2. «Категория получателей субсидии».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3.2.2. Отсутствие процедуры ликвидации и банкротства заявителя.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3.2.3. Использование субсидии на цели, предусмотренные настоящим  Порядком;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3.3. Заключение с главным распорядителем бюджетных средств соглашения о предоставлении субсидии.</w:t>
      </w:r>
    </w:p>
    <w:p w:rsidR="006E799D" w:rsidRPr="006E6B4C" w:rsidRDefault="006E799D" w:rsidP="006E799D">
      <w:pPr>
        <w:rPr>
          <w:b/>
          <w:bCs/>
          <w:sz w:val="25"/>
          <w:szCs w:val="25"/>
        </w:rPr>
      </w:pPr>
      <w:r>
        <w:rPr>
          <w:sz w:val="25"/>
          <w:szCs w:val="25"/>
        </w:rPr>
        <w:lastRenderedPageBreak/>
        <w:t>Соглашение о предоставлении субсидии должно содержать следующие положения: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 целевое назначение субсидии;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сведения об объеме субсидии, предоставляемой получателю субсидии;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условия предоставления субсидии;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перечень документов, соответствующий целевому назначению субсидии;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расчеты, подтверждающие результаты деятельности получателя субсидии по выполнению работ, оказанию услуг, связанныхс подъемом и удалением из морской среды  морского судна;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обязательство получателя субсидии о предоставлении отчетов об исполнении им обязательств, вытекающих из соглашения, а также требования к сроку, порядку и форме представления отчетов;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ответственность получателя субсидии за нарушение условий соглашения и недостоверность предоставляемых сведений;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согласие получателя субсидии на осуществление главным распорядителем бюджетных средств и финансовым управлением администрации Невельского городского округа, проверок соблюдения условий, целей и порядка предоставления субсидии;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порядок возврата средств местного бюджета, в случае превышения размера предоставляемой субсидии получателем, за счет средств местного бюджета над фактическими затратами, в том числе использованной по нецелевому назначению;</w:t>
      </w:r>
    </w:p>
    <w:p w:rsidR="006E799D" w:rsidRPr="000F407E" w:rsidRDefault="006E799D" w:rsidP="006E799D">
      <w:pPr>
        <w:ind w:firstLine="708"/>
        <w:jc w:val="both"/>
        <w:rPr>
          <w:sz w:val="25"/>
          <w:szCs w:val="25"/>
        </w:rPr>
      </w:pPr>
      <w:r w:rsidRPr="000F407E">
        <w:rPr>
          <w:sz w:val="25"/>
          <w:szCs w:val="25"/>
        </w:rPr>
        <w:t>-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иные положения, установленные главным распорядителем бюджетных средств.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3.3. Перечисление субсидии производится в пределах лимитов бюджетных обязательств, предусмотренных в местном бюджете муниципального образования «Невельский городской округ».</w:t>
      </w:r>
    </w:p>
    <w:p w:rsidR="006E799D" w:rsidRDefault="006E799D" w:rsidP="006E799D">
      <w:pPr>
        <w:ind w:firstLine="708"/>
        <w:jc w:val="both"/>
        <w:rPr>
          <w:sz w:val="25"/>
          <w:szCs w:val="25"/>
        </w:rPr>
      </w:pPr>
    </w:p>
    <w:p w:rsidR="006E799D" w:rsidRPr="00E33FC5" w:rsidRDefault="006E799D" w:rsidP="006E799D">
      <w:pPr>
        <w:jc w:val="both"/>
        <w:rPr>
          <w:sz w:val="25"/>
          <w:szCs w:val="25"/>
        </w:rPr>
      </w:pPr>
    </w:p>
    <w:p w:rsidR="006E799D" w:rsidRDefault="006E799D" w:rsidP="006E799D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4</w:t>
      </w:r>
      <w:r w:rsidRPr="00E33FC5">
        <w:rPr>
          <w:b/>
          <w:bCs/>
          <w:sz w:val="25"/>
          <w:szCs w:val="25"/>
        </w:rPr>
        <w:t xml:space="preserve">. </w:t>
      </w:r>
      <w:r>
        <w:rPr>
          <w:b/>
          <w:bCs/>
          <w:sz w:val="25"/>
          <w:szCs w:val="25"/>
        </w:rPr>
        <w:t>Порядок возврата и финансовый контроль Субсидии</w:t>
      </w:r>
    </w:p>
    <w:p w:rsidR="006E799D" w:rsidRPr="00E33FC5" w:rsidRDefault="006E799D" w:rsidP="006E799D">
      <w:pPr>
        <w:jc w:val="center"/>
        <w:rPr>
          <w:b/>
          <w:bCs/>
          <w:sz w:val="25"/>
          <w:szCs w:val="25"/>
        </w:rPr>
      </w:pPr>
    </w:p>
    <w:p w:rsidR="006E799D" w:rsidRPr="00E33FC5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4.1.</w:t>
      </w:r>
      <w:r w:rsidRPr="00E33FC5">
        <w:rPr>
          <w:sz w:val="25"/>
          <w:szCs w:val="25"/>
        </w:rPr>
        <w:t>В случае выявления нарушений условий</w:t>
      </w:r>
      <w:r>
        <w:rPr>
          <w:sz w:val="25"/>
          <w:szCs w:val="25"/>
        </w:rPr>
        <w:t>, установленных настоящим Порядком,</w:t>
      </w:r>
      <w:r w:rsidRPr="00E33FC5">
        <w:rPr>
          <w:sz w:val="25"/>
          <w:szCs w:val="25"/>
        </w:rPr>
        <w:t xml:space="preserve"> предоставления </w:t>
      </w:r>
      <w:r>
        <w:rPr>
          <w:sz w:val="25"/>
          <w:szCs w:val="25"/>
        </w:rPr>
        <w:t>Субсидии</w:t>
      </w:r>
      <w:r w:rsidRPr="00E33FC5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отдел жилищного и коммунального хозяйства </w:t>
      </w:r>
      <w:r w:rsidRPr="00E33FC5">
        <w:rPr>
          <w:sz w:val="25"/>
          <w:szCs w:val="25"/>
        </w:rPr>
        <w:t xml:space="preserve">администрация Невельского городского округа в течение десяти рабочих дней со дня их выявления направляет организации письменное требование о возврате </w:t>
      </w:r>
      <w:r>
        <w:rPr>
          <w:sz w:val="25"/>
          <w:szCs w:val="25"/>
        </w:rPr>
        <w:t>субсидии</w:t>
      </w:r>
      <w:r w:rsidRPr="00E33FC5">
        <w:rPr>
          <w:sz w:val="25"/>
          <w:szCs w:val="25"/>
        </w:rPr>
        <w:t xml:space="preserve"> в местный бюдже</w:t>
      </w:r>
      <w:r>
        <w:rPr>
          <w:sz w:val="25"/>
          <w:szCs w:val="25"/>
        </w:rPr>
        <w:t>т Невельского городского округа.</w:t>
      </w:r>
    </w:p>
    <w:p w:rsidR="006E799D" w:rsidRPr="00E33FC5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Возврат Субсидии получателем производится в течение 15 календарных</w:t>
      </w:r>
      <w:r w:rsidRPr="00E33FC5">
        <w:rPr>
          <w:sz w:val="25"/>
          <w:szCs w:val="25"/>
        </w:rPr>
        <w:t xml:space="preserve"> дней </w:t>
      </w:r>
      <w:r>
        <w:rPr>
          <w:sz w:val="25"/>
          <w:szCs w:val="25"/>
        </w:rPr>
        <w:t>с момента</w:t>
      </w:r>
      <w:r w:rsidRPr="00E33FC5">
        <w:rPr>
          <w:sz w:val="25"/>
          <w:szCs w:val="25"/>
        </w:rPr>
        <w:t xml:space="preserve"> получения требования </w:t>
      </w:r>
      <w:r>
        <w:rPr>
          <w:sz w:val="25"/>
          <w:szCs w:val="25"/>
        </w:rPr>
        <w:t>о возврате</w:t>
      </w:r>
      <w:r w:rsidRPr="00E33FC5">
        <w:rPr>
          <w:sz w:val="25"/>
          <w:szCs w:val="25"/>
        </w:rPr>
        <w:t>, по реквизитам и коду бюджетной классификации, указанным в требовании.</w:t>
      </w:r>
    </w:p>
    <w:p w:rsidR="006E799D" w:rsidRPr="00B94BC4" w:rsidRDefault="006E799D" w:rsidP="006E799D">
      <w:pPr>
        <w:ind w:firstLine="708"/>
        <w:jc w:val="both"/>
        <w:rPr>
          <w:sz w:val="25"/>
          <w:szCs w:val="25"/>
        </w:rPr>
      </w:pPr>
      <w:r w:rsidRPr="00E33FC5">
        <w:rPr>
          <w:sz w:val="25"/>
          <w:szCs w:val="25"/>
        </w:rPr>
        <w:t>В случае от</w:t>
      </w:r>
      <w:r>
        <w:rPr>
          <w:sz w:val="25"/>
          <w:szCs w:val="25"/>
        </w:rPr>
        <w:t xml:space="preserve">каза от добровольного возврата </w:t>
      </w:r>
      <w:r w:rsidRPr="00E33FC5">
        <w:rPr>
          <w:sz w:val="25"/>
          <w:szCs w:val="25"/>
        </w:rPr>
        <w:t xml:space="preserve"> в установленный настоящим Порядком срок, средства предоставленных субсидий взыскиваются в судебном порядке.</w:t>
      </w:r>
    </w:p>
    <w:p w:rsidR="006E799D" w:rsidRPr="00E33FC5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4.2.Остаток Субсидии неиспользованных в отчетном финансовом году, потребность в которых отсутствует, подлежит возврату на счет администрации в местный бюджет до 25 декабря текущего года.</w:t>
      </w:r>
    </w:p>
    <w:p w:rsidR="006E799D" w:rsidRPr="004F354F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4.3. </w:t>
      </w:r>
      <w:r w:rsidRPr="004F354F">
        <w:rPr>
          <w:sz w:val="25"/>
          <w:szCs w:val="25"/>
        </w:rPr>
        <w:t xml:space="preserve">Главный распорядитель бюджетных средств осуществляет финансовый контроль соблюдения условий, целей и порядка предоставления </w:t>
      </w:r>
      <w:r>
        <w:rPr>
          <w:sz w:val="25"/>
          <w:szCs w:val="25"/>
        </w:rPr>
        <w:t xml:space="preserve">субсидии </w:t>
      </w:r>
      <w:r w:rsidRPr="004F354F">
        <w:rPr>
          <w:sz w:val="25"/>
          <w:szCs w:val="25"/>
        </w:rPr>
        <w:t xml:space="preserve"> их получателями.</w:t>
      </w:r>
    </w:p>
    <w:p w:rsidR="006E799D" w:rsidRPr="004F354F" w:rsidRDefault="006E799D" w:rsidP="006E799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4.4</w:t>
      </w:r>
      <w:r w:rsidRPr="004F354F">
        <w:rPr>
          <w:sz w:val="25"/>
          <w:szCs w:val="25"/>
        </w:rPr>
        <w:t>.Финансовое управление администрации Невельского городского округа осуществляет</w:t>
      </w:r>
      <w:r>
        <w:rPr>
          <w:sz w:val="25"/>
          <w:szCs w:val="25"/>
        </w:rPr>
        <w:t xml:space="preserve"> финансовый </w:t>
      </w:r>
      <w:r w:rsidRPr="004F354F">
        <w:rPr>
          <w:sz w:val="25"/>
          <w:szCs w:val="25"/>
        </w:rPr>
        <w:t>контроль за соблюдением условий выделения, получения, целевого ис</w:t>
      </w:r>
      <w:r>
        <w:rPr>
          <w:sz w:val="25"/>
          <w:szCs w:val="25"/>
        </w:rPr>
        <w:t>пользования и возврата средств С</w:t>
      </w:r>
      <w:r w:rsidRPr="004F354F">
        <w:rPr>
          <w:sz w:val="25"/>
          <w:szCs w:val="25"/>
        </w:rPr>
        <w:t>убсидии главным рас</w:t>
      </w:r>
      <w:r>
        <w:rPr>
          <w:sz w:val="25"/>
          <w:szCs w:val="25"/>
        </w:rPr>
        <w:t>порядителем бюджетных средств</w:t>
      </w:r>
      <w:r w:rsidRPr="004F354F">
        <w:rPr>
          <w:sz w:val="25"/>
          <w:szCs w:val="25"/>
        </w:rPr>
        <w:t>.</w:t>
      </w:r>
    </w:p>
    <w:p w:rsidR="006E799D" w:rsidRDefault="006E799D" w:rsidP="006E799D">
      <w:pPr>
        <w:jc w:val="both"/>
        <w:rPr>
          <w:sz w:val="25"/>
          <w:szCs w:val="25"/>
        </w:rPr>
      </w:pPr>
    </w:p>
    <w:sectPr w:rsidR="006E799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759" w:rsidRDefault="00DD3759">
      <w:r>
        <w:separator/>
      </w:r>
    </w:p>
  </w:endnote>
  <w:endnote w:type="continuationSeparator" w:id="0">
    <w:p w:rsidR="00DD3759" w:rsidRDefault="00DD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759" w:rsidRDefault="00DD3759">
      <w:r>
        <w:separator/>
      </w:r>
    </w:p>
  </w:footnote>
  <w:footnote w:type="continuationSeparator" w:id="0">
    <w:p w:rsidR="00DD3759" w:rsidRDefault="00DD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предоставления субсидии из бюджета Невельского городского округа юридическим лицам (за исключением субсидий государственным (муниципальным) учреждениям) и индивидуальным предпринимателям - производителям работ (услуг), на возмещение затрат, связанных с проведением работ по предупреждению возникновения чрезвычайных ситуаций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8-01'}"/>
    <w:docVar w:name="attr5#Бланк" w:val="OID_TYPE#"/>
    <w:docVar w:name="attr6#Номер документа" w:val="VARCHAR#1141"/>
    <w:docVar w:name="attr7#Дата подписания" w:val="DATE#{d '2016-08-01'}"/>
    <w:docVar w:name="ESED_IDnum" w:val="22/2016-1807"/>
    <w:docVar w:name="ESED_Lock" w:val="0"/>
    <w:docVar w:name="SPD_Annotation" w:val="N 1141 от 01.08.2016 22/2016-1807#Об утверждении Порядка предоставления субсидии из бюджета Невельского городского округа юридическим лицам (за исключением субсидий государственным (муниципальным) учреждениям) и индивидуальным предпринимателям - производителям работ (услуг), на возмещение затрат, связанных с проведением работ по предупреждению возникновения чрезвычайных ситуаций на территории муниципального образования &quot;Невельский городской округ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01.08.2016"/>
    <w:docVar w:name="SPD_AreaName" w:val="Документ (ЕСЭД)"/>
    <w:docVar w:name="SPD_hostURL" w:val="storm"/>
    <w:docVar w:name="SPD_NumDoc" w:val="620296311"/>
    <w:docVar w:name="SPD_vDir" w:val="spd"/>
  </w:docVars>
  <w:rsids>
    <w:rsidRoot w:val="006E799D"/>
    <w:rsid w:val="000F407E"/>
    <w:rsid w:val="002164C3"/>
    <w:rsid w:val="004E187A"/>
    <w:rsid w:val="004F354F"/>
    <w:rsid w:val="006E6B4C"/>
    <w:rsid w:val="006E799D"/>
    <w:rsid w:val="00803339"/>
    <w:rsid w:val="00931383"/>
    <w:rsid w:val="00B94BC4"/>
    <w:rsid w:val="00C771A3"/>
    <w:rsid w:val="00DD3759"/>
    <w:rsid w:val="00E269BE"/>
    <w:rsid w:val="00E33FC5"/>
    <w:rsid w:val="00EB4904"/>
    <w:rsid w:val="00F9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065F0A-8A35-4270-826B-8D50E60B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9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E799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E799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E79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E79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6E799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6E799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64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1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1082</Words>
  <Characters>6169</Characters>
  <Application>Microsoft Office Word</Application>
  <DocSecurity>0</DocSecurity>
  <Lines>51</Lines>
  <Paragraphs>14</Paragraphs>
  <ScaleCrop>false</ScaleCrop>
  <Company>Администрация. Невельск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2025-01-29T03:47:00Z</dcterms:created>
  <dcterms:modified xsi:type="dcterms:W3CDTF">2025-01-29T03:47:00Z</dcterms:modified>
</cp:coreProperties>
</file>