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83" w:rsidRDefault="00CB4E6A" w:rsidP="000E0D8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D83" w:rsidRDefault="000E0D83" w:rsidP="000E0D83">
      <w:pPr>
        <w:jc w:val="center"/>
        <w:rPr>
          <w:lang w:val="en-US"/>
        </w:rPr>
      </w:pPr>
    </w:p>
    <w:p w:rsidR="000E0D83" w:rsidRDefault="000E0D83" w:rsidP="000E0D83">
      <w:pPr>
        <w:jc w:val="center"/>
        <w:rPr>
          <w:lang w:val="en-US"/>
        </w:rPr>
      </w:pPr>
    </w:p>
    <w:p w:rsidR="000E0D83" w:rsidRDefault="000E0D83" w:rsidP="000E0D83">
      <w:pPr>
        <w:jc w:val="center"/>
        <w:rPr>
          <w:lang w:val="en-US"/>
        </w:rPr>
      </w:pPr>
    </w:p>
    <w:p w:rsidR="000E0D83" w:rsidRDefault="000E0D83" w:rsidP="000E0D83">
      <w:pPr>
        <w:jc w:val="center"/>
        <w:rPr>
          <w:lang w:val="en-US"/>
        </w:rPr>
      </w:pPr>
    </w:p>
    <w:p w:rsidR="000E0D83" w:rsidRDefault="000E0D83" w:rsidP="000E0D8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E0D8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E0D83" w:rsidRDefault="000E0D83" w:rsidP="0069439D">
            <w:pPr>
              <w:pStyle w:val="7"/>
            </w:pPr>
            <w:r>
              <w:t>ПОСТАНОВЛЕНИЕ</w:t>
            </w:r>
          </w:p>
          <w:p w:rsidR="000E0D83" w:rsidRDefault="000E0D83" w:rsidP="0069439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E0D8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E0D83" w:rsidRDefault="00CB4E6A" w:rsidP="0069439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D83" w:rsidRDefault="001611D2" w:rsidP="000E0D83">
                                  <w:r>
                                    <w:t>130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E0D83" w:rsidRDefault="001611D2" w:rsidP="000E0D83">
                            <w:r>
                              <w:t>130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D83" w:rsidRDefault="001611D2" w:rsidP="000E0D83">
                                  <w:r>
                                    <w:t>03.02.2016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E0D83" w:rsidRDefault="001611D2" w:rsidP="000E0D83">
                            <w:r>
                              <w:t>03.02.2016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D83">
              <w:rPr>
                <w:rFonts w:ascii="Courier New" w:hAnsi="Courier New" w:cs="Courier New"/>
              </w:rPr>
              <w:t>от              №</w:t>
            </w:r>
          </w:p>
          <w:p w:rsidR="000E0D83" w:rsidRDefault="000E0D83" w:rsidP="0069439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E0D8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E0D83" w:rsidRDefault="000E0D83" w:rsidP="0069439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E0D83" w:rsidRDefault="000E0D83" w:rsidP="0069439D">
            <w:pPr>
              <w:spacing w:after="240"/>
              <w:ind w:left="539"/>
              <w:jc w:val="center"/>
            </w:pPr>
          </w:p>
        </w:tc>
      </w:tr>
      <w:tr w:rsidR="000E0D83" w:rsidRPr="000E0D8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E0D83" w:rsidRPr="000E0D83" w:rsidRDefault="000E0D83" w:rsidP="000E0D83">
            <w:pPr>
              <w:jc w:val="both"/>
              <w:rPr>
                <w:sz w:val="28"/>
                <w:szCs w:val="28"/>
              </w:rPr>
            </w:pPr>
            <w:r w:rsidRPr="000E0D83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20.07.2015г. № 969 «Об утверждении Плана мероприятий администрации Невельского городского округа по выполнению Указов Президента Российской Федерации В.В. Путина от 07.05.2012 года»</w:t>
            </w:r>
          </w:p>
        </w:tc>
        <w:tc>
          <w:tcPr>
            <w:tcW w:w="5103" w:type="dxa"/>
          </w:tcPr>
          <w:p w:rsidR="000E0D83" w:rsidRPr="000E0D83" w:rsidRDefault="000E0D83" w:rsidP="000E0D83">
            <w:pPr>
              <w:jc w:val="both"/>
              <w:rPr>
                <w:sz w:val="28"/>
                <w:szCs w:val="28"/>
              </w:rPr>
            </w:pPr>
          </w:p>
        </w:tc>
      </w:tr>
      <w:tr w:rsidR="000E0D83" w:rsidRPr="000E0D8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E0D83" w:rsidRPr="000E0D83" w:rsidRDefault="000E0D83" w:rsidP="000E0D83">
            <w:pPr>
              <w:jc w:val="both"/>
              <w:rPr>
                <w:sz w:val="28"/>
                <w:szCs w:val="28"/>
              </w:rPr>
            </w:pPr>
          </w:p>
        </w:tc>
      </w:tr>
    </w:tbl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В целях организации работы по реализации задач, изложенных в Указах Президента Российской Федерации В.В. Путина от 07.05.2012г., реализации распоряжения Правительства Сахалинской области от 08.04.2015г. № 152-р «Об утверждении Плана мероприятий Правительства Сахалинской области по выполнению Указов Президента Российской Федерации В.В. Путина от 07 мая 2012 года», на основании ст. </w:t>
      </w:r>
      <w:r>
        <w:rPr>
          <w:sz w:val="28"/>
          <w:szCs w:val="28"/>
        </w:rPr>
        <w:t xml:space="preserve">ст. </w:t>
      </w:r>
      <w:r w:rsidRPr="000E0D83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округа,</w:t>
      </w:r>
    </w:p>
    <w:p w:rsidR="000E0D83" w:rsidRPr="000E0D83" w:rsidRDefault="000E0D83" w:rsidP="000E0D83">
      <w:pPr>
        <w:jc w:val="both"/>
        <w:rPr>
          <w:sz w:val="28"/>
          <w:szCs w:val="28"/>
        </w:rPr>
      </w:pPr>
    </w:p>
    <w:p w:rsidR="000E0D83" w:rsidRPr="000E0D83" w:rsidRDefault="000E0D83" w:rsidP="000E0D83">
      <w:pPr>
        <w:jc w:val="both"/>
        <w:rPr>
          <w:sz w:val="28"/>
          <w:szCs w:val="28"/>
        </w:rPr>
      </w:pPr>
      <w:r w:rsidRPr="000E0D83">
        <w:rPr>
          <w:sz w:val="28"/>
          <w:szCs w:val="28"/>
        </w:rPr>
        <w:t>ПОСТАНОВЛЯЕТ:</w:t>
      </w:r>
    </w:p>
    <w:p w:rsidR="000E0D83" w:rsidRPr="000E0D83" w:rsidRDefault="000E0D83" w:rsidP="000E0D83">
      <w:pPr>
        <w:jc w:val="both"/>
        <w:rPr>
          <w:sz w:val="28"/>
          <w:szCs w:val="28"/>
        </w:rPr>
      </w:pP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1. Внести следующие изменения в План мероприятий администрации Невельского городского округа по выполнению Указов Президента Российской Федерации В.В. Путина от 07.05.2012 года, утвержденный постановлением администрации Невельского городского округа от 20.07.2015г. № 969: 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1.1. в разделе «Указ Президента Российской Федерации от 07.05.2012г. № 596 «О долгосрочной государственной экономической политике» строки 1, </w:t>
      </w:r>
      <w:r w:rsidRPr="000E0D83">
        <w:rPr>
          <w:sz w:val="28"/>
          <w:szCs w:val="28"/>
        </w:rPr>
        <w:lastRenderedPageBreak/>
        <w:t xml:space="preserve">2, 6, 8 изложить в редакции согласно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 xml:space="preserve">риложения № 1 к настоящему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>остановлению;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1.2. в разделе «Указ Президента Российской Федерации от 07.05.2012г. № 597 «О мероприятиях по реализации государственной социальной политики» строку 1, 3, 16, 17, 19, 21, 23 изложить в редакции согласно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 xml:space="preserve">риложения № 2 к настоящему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>остановлению;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1.3. в раздел «Указ Президента Российской Федерации от 07.05.2012</w:t>
      </w:r>
      <w:r>
        <w:rPr>
          <w:sz w:val="28"/>
          <w:szCs w:val="28"/>
        </w:rPr>
        <w:t>г.</w:t>
      </w:r>
      <w:r w:rsidRPr="000E0D83">
        <w:rPr>
          <w:sz w:val="28"/>
          <w:szCs w:val="28"/>
        </w:rPr>
        <w:t xml:space="preserve"> № 598 «О совершенствовании государственной политики в сфере здравоохранения» строку 3 изложить в редакции согласно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 xml:space="preserve">риложения № 3 к настоящему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>остановлению;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1.4. в раздел «Указ Президента Российской Федерации от 07.05.2012</w:t>
      </w:r>
      <w:r>
        <w:rPr>
          <w:sz w:val="28"/>
          <w:szCs w:val="28"/>
        </w:rPr>
        <w:t>г.</w:t>
      </w:r>
      <w:r w:rsidRPr="000E0D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E0D83">
        <w:rPr>
          <w:sz w:val="28"/>
          <w:szCs w:val="28"/>
        </w:rPr>
        <w:t xml:space="preserve"> 602 «Об обеспечении межнационального согласия» строку 8 изложить в редакции согласно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 xml:space="preserve">риложения № 4 к настоящему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>остановлению;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1.5. в раздел «Указ Президента Российской Федерации от 07.05.2012</w:t>
      </w:r>
      <w:r>
        <w:rPr>
          <w:sz w:val="28"/>
          <w:szCs w:val="28"/>
        </w:rPr>
        <w:t>г.</w:t>
      </w:r>
      <w:r w:rsidRPr="000E0D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E0D83">
        <w:rPr>
          <w:sz w:val="28"/>
          <w:szCs w:val="28"/>
        </w:rPr>
        <w:t xml:space="preserve"> 604 «О дальнейшем совершенствовании военной службы в Российской Федерации» строку 1 изложить в редакции согласно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 xml:space="preserve">риложения № 5 к настоящему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>остановлению;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1.6. в раздел «Указ Президента Российской Федерации от 07.05.2012</w:t>
      </w:r>
      <w:r>
        <w:rPr>
          <w:sz w:val="28"/>
          <w:szCs w:val="28"/>
        </w:rPr>
        <w:t>г.</w:t>
      </w:r>
      <w:r w:rsidRPr="000E0D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E0D83">
        <w:rPr>
          <w:sz w:val="28"/>
          <w:szCs w:val="28"/>
        </w:rPr>
        <w:t xml:space="preserve"> 605 «О мерах по реализации внешнеполитического курса Российской Федерации» строку 4 изложить в редакции согласно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 xml:space="preserve">риложения № 6 к настоящему </w:t>
      </w:r>
      <w:r>
        <w:rPr>
          <w:sz w:val="28"/>
          <w:szCs w:val="28"/>
        </w:rPr>
        <w:t>п</w:t>
      </w:r>
      <w:r w:rsidRPr="000E0D83">
        <w:rPr>
          <w:sz w:val="28"/>
          <w:szCs w:val="28"/>
        </w:rPr>
        <w:t>остановлению.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0E0D83">
        <w:rPr>
          <w:sz w:val="28"/>
          <w:szCs w:val="28"/>
        </w:rPr>
        <w:t xml:space="preserve">остановление разместить на официальном сайте администрации Невельского городского округа. </w:t>
      </w:r>
    </w:p>
    <w:p w:rsidR="000E0D83" w:rsidRPr="000E0D83" w:rsidRDefault="000E0D83" w:rsidP="000E0D83">
      <w:pPr>
        <w:ind w:firstLine="708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0E0D83" w:rsidRPr="000E0D83" w:rsidRDefault="000E0D83" w:rsidP="000E0D83">
      <w:pPr>
        <w:jc w:val="both"/>
        <w:rPr>
          <w:sz w:val="28"/>
          <w:szCs w:val="28"/>
        </w:rPr>
      </w:pPr>
    </w:p>
    <w:p w:rsidR="000E0D83" w:rsidRPr="000E0D83" w:rsidRDefault="000E0D83" w:rsidP="000E0D83">
      <w:pPr>
        <w:jc w:val="both"/>
        <w:rPr>
          <w:sz w:val="28"/>
          <w:szCs w:val="28"/>
        </w:rPr>
      </w:pPr>
    </w:p>
    <w:p w:rsidR="000E0D83" w:rsidRPr="000E0D83" w:rsidRDefault="000E0D83" w:rsidP="000E0D83">
      <w:pPr>
        <w:jc w:val="both"/>
        <w:rPr>
          <w:sz w:val="28"/>
          <w:szCs w:val="28"/>
        </w:rPr>
      </w:pPr>
    </w:p>
    <w:p w:rsidR="000E0D83" w:rsidRPr="000E0D83" w:rsidRDefault="000E0D83" w:rsidP="000E0D83">
      <w:pPr>
        <w:jc w:val="both"/>
        <w:rPr>
          <w:sz w:val="28"/>
          <w:szCs w:val="28"/>
        </w:rPr>
      </w:pPr>
    </w:p>
    <w:p w:rsidR="000E0D83" w:rsidRPr="000E0D83" w:rsidRDefault="000E0D83" w:rsidP="000E0D83">
      <w:pPr>
        <w:jc w:val="both"/>
        <w:rPr>
          <w:sz w:val="28"/>
          <w:szCs w:val="28"/>
        </w:rPr>
      </w:pPr>
    </w:p>
    <w:p w:rsidR="000E0D83" w:rsidRDefault="000E0D83" w:rsidP="000E0D83">
      <w:pPr>
        <w:rPr>
          <w:sz w:val="28"/>
          <w:szCs w:val="28"/>
        </w:rPr>
      </w:pPr>
      <w:r w:rsidRPr="000E0D83">
        <w:rPr>
          <w:sz w:val="28"/>
          <w:szCs w:val="28"/>
        </w:rPr>
        <w:t>Мэр Невельского городского округа                                                    В.Н. Пак</w:t>
      </w:r>
    </w:p>
    <w:p w:rsidR="000E0D83" w:rsidRDefault="000E0D83" w:rsidP="000E0D83">
      <w:pPr>
        <w:rPr>
          <w:sz w:val="28"/>
          <w:szCs w:val="28"/>
        </w:rPr>
      </w:pPr>
    </w:p>
    <w:p w:rsidR="000E0D83" w:rsidRPr="000E0D83" w:rsidRDefault="000E0D83" w:rsidP="000E0D83">
      <w:pPr>
        <w:rPr>
          <w:sz w:val="28"/>
          <w:szCs w:val="28"/>
        </w:rPr>
        <w:sectPr w:rsidR="000E0D83" w:rsidRPr="000E0D83" w:rsidSect="00AE3664">
          <w:pgSz w:w="11906" w:h="16838" w:code="9"/>
          <w:pgMar w:top="1134" w:right="850" w:bottom="709" w:left="1701" w:header="720" w:footer="720" w:gutter="0"/>
          <w:cols w:space="720"/>
        </w:sect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Невельского городского округа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>от 03.02.2016г. № 130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595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425"/>
        <w:gridCol w:w="1861"/>
        <w:gridCol w:w="1701"/>
        <w:gridCol w:w="1055"/>
        <w:gridCol w:w="1701"/>
        <w:gridCol w:w="709"/>
        <w:gridCol w:w="709"/>
        <w:gridCol w:w="850"/>
        <w:gridCol w:w="850"/>
        <w:gridCol w:w="851"/>
        <w:gridCol w:w="851"/>
        <w:gridCol w:w="850"/>
        <w:gridCol w:w="849"/>
        <w:gridCol w:w="851"/>
      </w:tblGrid>
      <w:tr w:rsidR="000E0D83" w:rsidRPr="000E0D83">
        <w:trPr>
          <w:trHeight w:val="300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№ и название Указа, основные задачи, изложенные в Указе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Мероприятия, обеспечивающие решение изложенных задач на муниципальном уровне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Целевой индикатор для Невельского городского округа</w:t>
            </w:r>
          </w:p>
        </w:tc>
      </w:tr>
      <w:tr w:rsidR="000E0D83" w:rsidRPr="000E0D83">
        <w:trPr>
          <w:trHeight w:val="30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0E0D83" w:rsidRPr="000E0D83">
        <w:trPr>
          <w:trHeight w:val="81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0E0D83" w:rsidRPr="000E0D83">
        <w:trPr>
          <w:trHeight w:val="300"/>
        </w:trPr>
        <w:tc>
          <w:tcPr>
            <w:tcW w:w="1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Указ Президента российской Федерации от 07.05.2012 № 596 "О долгосрочной государственной экономической политике"</w:t>
            </w:r>
          </w:p>
        </w:tc>
      </w:tr>
      <w:tr w:rsidR="000E0D83" w:rsidRPr="000E0D83">
        <w:trPr>
          <w:trHeight w:val="360"/>
        </w:trPr>
        <w:tc>
          <w:tcPr>
            <w:tcW w:w="1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1. Правительству Российской Федерации принять меры, направленные на достижение следующих показателей:</w:t>
            </w:r>
          </w:p>
        </w:tc>
      </w:tr>
      <w:tr w:rsidR="000E0D83" w:rsidRPr="000E0D83">
        <w:trPr>
          <w:trHeight w:val="5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а) создание и модернизация 25 млн. высокопроизводительных рабочих мест к 2020 году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Оказание мер муниципальной поддержки хозяйствующим субъектам, осуществляющим деятельность, направленную на модернизацию существующих, создание новых производств и высокопроизводительных рабочих мест в рамках приоритетных инвестиционных проектов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Стимулирование экономической активности в МО "Невельский городской округ" на 2015-2020 годы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Комитет экономического развития и потребительского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Число рабочих мест, дополнительно созданных в результате реализации инвестиционных проектов,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20 </w:t>
            </w:r>
          </w:p>
        </w:tc>
      </w:tr>
      <w:tr w:rsidR="000E0D83" w:rsidRPr="000E0D83">
        <w:trPr>
          <w:trHeight w:val="18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Количество субъектов инвестиционной деятельности, получивших муниципальную поддержку на реализацию инвестиционных проектов,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</w:t>
            </w:r>
          </w:p>
        </w:tc>
      </w:tr>
      <w:tr w:rsidR="000E0D83" w:rsidRPr="000E0D83">
        <w:trPr>
          <w:trHeight w:val="18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Количество рабочих мест, созданных в ходе реализации инвестиционных проектов с использованием мер муниципальной поддержки,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</w:t>
            </w:r>
          </w:p>
        </w:tc>
      </w:tr>
      <w:tr w:rsidR="000E0D83" w:rsidRPr="000E0D83">
        <w:trPr>
          <w:trHeight w:val="15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lastRenderedPageBreak/>
              <w:t>б) увеличение объема инвестиций не менее чем до 25 процентов внутреннего валового продукта к 2015 году и до 27 процентов - к 2018 году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Реализация подпрограммы "Развитие инвестиционного потенциала" муниципальной программы "Стимулирование экономической активности в МО "Невельский городской округ" на 2015-2020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Стимулирование экономической активности в МО "Невельский городской округ" на 2015-2020 годы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Комитет экономического развития и потребительского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Объем инвестиций по проектам, реализуемым при муниципальной поддержки, млн.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3,2</w:t>
            </w:r>
          </w:p>
        </w:tc>
      </w:tr>
      <w:tr w:rsidR="000E0D83" w:rsidRPr="000E0D83">
        <w:trPr>
          <w:trHeight w:val="140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673,3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627,5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1096,8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1565,4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1194,1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1206,4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1347,7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2228,0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2455,7</w:t>
            </w:r>
          </w:p>
        </w:tc>
      </w:tr>
      <w:tr w:rsidR="000E0D83" w:rsidRPr="000E0D83">
        <w:trPr>
          <w:trHeight w:val="95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утвердить до 31 декабря 2012 г. основные государственные программы Российской Федерации, в том числе такие как "Развитие здравоохранения", "Развитие образования", "Культура России", "Социальная поддержка граждан", "Развитие науки и технологий" и "Развитие транспортной системы"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Реализация муниципальных программ: "Развитие образования в МО "Невельский городской округ" на 2015 - 2020 годы", "Развитие культуры в МО "Невельский городской округ" на 2015 - 2020 годы", "Развитие транспортной инфраструктуры и дорожного хозяйства в МО "Невельский городской округ" на 2015 - 2020 годы", "Социальная поддержка населения МО «Невельский городской округ» на 2016-2020 годы»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образования                Отдел культуры                         Отдел жилищного и коммунального хозяйства                Отдел опеки и попечительства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Освоение бюджетных ассигнований, направленных на реализацию муниципальных программ, к плановому объему финансирования,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E0D83" w:rsidRPr="000E0D83">
        <w:trPr>
          <w:trHeight w:val="5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lastRenderedPageBreak/>
              <w:t>реализовать до 1 ноября 2012 г. мероприятия по упрощению бухгалтерской (финансовой) отчетности для отдельных категорий субъектов экономической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Реализация подпрограммы "Развитие малого и среднего предпринимательства" муниципальной программы "Стимулирование экономической активности в МО "Невельский городской округ" на 2015-2020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Стимулирование экономической активности в МО "Невельский городской округ" на 2015-2020 годы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Комитет экономического развития и потребительского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Количество субъектов малого и среднего предпринимательства, получивших субсидии,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E0D83">
              <w:rPr>
                <w:sz w:val="16"/>
                <w:szCs w:val="16"/>
                <w:lang w:eastAsia="en-US"/>
              </w:rPr>
              <w:t>50</w:t>
            </w:r>
          </w:p>
        </w:tc>
      </w:tr>
    </w:tbl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br w:type="page"/>
      </w:r>
      <w:r w:rsidRPr="000E0D83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Невельского городского округа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>от 03.02.2016г. № 130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549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78"/>
        <w:gridCol w:w="6"/>
        <w:gridCol w:w="560"/>
        <w:gridCol w:w="7"/>
        <w:gridCol w:w="1615"/>
        <w:gridCol w:w="1701"/>
        <w:gridCol w:w="1540"/>
        <w:gridCol w:w="1701"/>
        <w:gridCol w:w="709"/>
        <w:gridCol w:w="709"/>
        <w:gridCol w:w="706"/>
        <w:gridCol w:w="6"/>
        <w:gridCol w:w="704"/>
        <w:gridCol w:w="6"/>
        <w:gridCol w:w="704"/>
        <w:gridCol w:w="6"/>
        <w:gridCol w:w="703"/>
        <w:gridCol w:w="6"/>
        <w:gridCol w:w="703"/>
        <w:gridCol w:w="6"/>
        <w:gridCol w:w="703"/>
        <w:gridCol w:w="6"/>
        <w:gridCol w:w="703"/>
        <w:gridCol w:w="7"/>
      </w:tblGrid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№ и название Указа, основные задачи, изложенные в Указе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Мероприятия, обеспечивающие решение изложенных задач на муниципальном уровне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Целевой индикатор для Невельского городского округа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54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Указ Президента Российской Федерации от 07.05.2012г. № 597 "О мероприятиях по реализации государственной социальной политики"</w:t>
            </w:r>
          </w:p>
        </w:tc>
      </w:tr>
      <w:tr w:rsidR="000E0D83" w:rsidRPr="000E0D83">
        <w:trPr>
          <w:gridAfter w:val="1"/>
          <w:wAfter w:w="7" w:type="dxa"/>
          <w:trHeight w:val="315"/>
        </w:trPr>
        <w:tc>
          <w:tcPr>
            <w:tcW w:w="154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1. Правительству Российской Федерации:</w:t>
            </w:r>
          </w:p>
        </w:tc>
      </w:tr>
      <w:tr w:rsidR="000E0D83" w:rsidRPr="000E0D83">
        <w:trPr>
          <w:gridAfter w:val="1"/>
          <w:wAfter w:w="7" w:type="dxa"/>
          <w:trHeight w:val="330"/>
        </w:trPr>
        <w:tc>
          <w:tcPr>
            <w:tcW w:w="154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а) обеспечить:</w:t>
            </w:r>
          </w:p>
        </w:tc>
      </w:tr>
      <w:tr w:rsidR="000E0D83" w:rsidRPr="000E0D83">
        <w:trPr>
          <w:trHeight w:val="199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Обеспечение достижения установленных целевых значений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образования в МО "Невельский городской округ" на 2015-2020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Средняя заработная плата педагогических работников образовательных учреждений общего образования к предыдущему году,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0E0D83" w:rsidRPr="000E0D83">
        <w:trPr>
          <w:trHeight w:val="39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      </w: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Средняя заработная плата педагогических работников дошкольных образовательных учреждений к предыдущему году,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0E0D83" w:rsidRPr="000E0D83">
        <w:trPr>
          <w:trHeight w:val="160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lastRenderedPageBreak/>
              <w:t>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соответствующем регионе</w:t>
            </w: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культуры в МО "Невельский городской округ" на 2015-2020 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Средняя заработная плата работников учреждений культуры к предыдущему году,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111,3</w:t>
            </w:r>
          </w:p>
        </w:tc>
      </w:tr>
      <w:tr w:rsidR="000E0D83" w:rsidRPr="000E0D83">
        <w:trPr>
          <w:trHeight w:val="1605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Отношение средней заработной платы преподавателей ДШИ к предыдущему году,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107,0</w:t>
            </w:r>
          </w:p>
        </w:tc>
      </w:tr>
      <w:tr w:rsidR="000E0D83" w:rsidRPr="000E0D83">
        <w:trPr>
          <w:trHeight w:val="160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увеличение к 2020 году числа высококвалифицированных работников с тем, чтобы оно составляло не менее трети от числа квалифицированных работников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Повышение квалификации и профессиональная переподготовка работников подведомственного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Развитие физической культуры, спорта и молодежной политики в МО «Невельский  городской округ» на 2015-2020 годы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Удельный вес численности высоквалифицированных работников в общей численности работников подведомственных учреждений отдела физической культуры, спорта и молодежной политики,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100</w:t>
            </w:r>
          </w:p>
        </w:tc>
      </w:tr>
      <w:tr w:rsidR="000E0D83" w:rsidRPr="000E0D83">
        <w:trPr>
          <w:trHeight w:val="41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Развитие культуры в МО "Невельский городской округ" на 2015-2020 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Доля работников учреждений культуры прошедших повышение квалификации в общей численности квалифицированных работников,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61,5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40,8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43,4</w:t>
            </w:r>
          </w:p>
        </w:tc>
      </w:tr>
      <w:tr w:rsidR="000E0D83" w:rsidRPr="000E0D83">
        <w:trPr>
          <w:trHeight w:val="160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Удельный вес численности высоквалифицированных работников в общей численности квалифицированных работников ДШИ,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34,8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34,8</w:t>
            </w:r>
          </w:p>
        </w:tc>
      </w:tr>
      <w:tr w:rsidR="000E0D83" w:rsidRPr="000E0D83">
        <w:trPr>
          <w:trHeight w:val="1605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Удельный вес численности высоквалифицированных работников в общей численности квалифицированных работников учреждений культуры,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12,3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20</w:t>
            </w:r>
          </w:p>
        </w:tc>
      </w:tr>
      <w:tr w:rsidR="000E0D83" w:rsidRPr="000E0D83">
        <w:trPr>
          <w:trHeight w:val="888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lastRenderedPageBreak/>
              <w:t>обеспечить поддержку создания публичных электронных библиотек, сайтов музеев и театров в информационно-телекоммуникационной сети Интернет, а также размещение в свободном бесплатном доступе в сети Интернет фильмов и спектаклей выдающихся режиссеров кино и театра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Проведение в Невельском городском округе мероприятий по созданию и обеспечению работы публичных электронных библиотек, сайтов музеев  в информационной сети Интернет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культуры в МО "Невельский городской округ" на 2015-2020 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Доля музеев, имеющих сайт в сети Интернет,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E0D83" w:rsidRPr="000E0D83">
        <w:trPr>
          <w:trHeight w:val="558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Увеличение количества  библиографических записей в электронных каталогах и базах данных библиотек по сравнению с предыдущим годом,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6</w:t>
            </w:r>
          </w:p>
        </w:tc>
      </w:tr>
      <w:tr w:rsidR="000E0D83" w:rsidRPr="000E0D83">
        <w:trPr>
          <w:trHeight w:val="131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Разработка системы публичного доступа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культуры в МО "Невельский городской округ" на 2015-2020 годы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Увеличение посещаемости музейных учреждений в расчете на 1 жителя в год,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0,466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0,468</w:t>
            </w:r>
          </w:p>
        </w:tc>
      </w:tr>
      <w:tr w:rsidR="000E0D83" w:rsidRPr="000E0D83">
        <w:trPr>
          <w:trHeight w:val="55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увеличить к 2018 году в два раза количество выставочных проектов, осуществляемых в субъектах Российской Федерации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Оказание музейных услуг (выполнение работ) государственными учреждениями, обеспечение деятельности государственных музеев: организация, экспонирование выставок исторического, художественного и естественно-научного профилей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культуры в МО "Невельский городской округ" на 2015-2020 годы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Увеличение количества выставочных проектов в % к 2013 году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E0D83" w:rsidRPr="000E0D83">
        <w:trPr>
          <w:trHeight w:val="558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lastRenderedPageBreak/>
              <w:t>увеличить к 2018 году в целях выявления и поддержки юных талантов число детей, привлекаемых к участию в творческих мероприятиях, до 8 процентов от общего числа детей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Выявление, развитие и поддержка одаренных детей, реализация проекта "Творческая одаренность"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культуры в МО "Невельский городской округ" на 2015-2020 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</w:t>
            </w:r>
          </w:p>
        </w:tc>
      </w:tr>
      <w:tr w:rsidR="000E0D83" w:rsidRPr="000E0D83">
        <w:trPr>
          <w:trHeight w:val="558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Доля талантливых  детей ДШИ, привлекаемых к участию в творческих мероприятиях, до 8 процентов от общего числа детей,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8</w:t>
            </w:r>
          </w:p>
        </w:tc>
      </w:tr>
      <w:tr w:rsidR="000E0D83" w:rsidRPr="000E0D83">
        <w:trPr>
          <w:trHeight w:val="558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б) разработать до 1 ноября 2012 г. комплекс мер по расширению практики обмена выставками между музеями Российской Федерации, по работе музеев в вечернее и ночное время и обеспечить их реализацию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Реализация комплекса мер по расширению практики обмена выставками между музеями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культуры в МО "Невельский городской округ" на 2015-2020 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Количество обменных выставок,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16</w:t>
            </w:r>
          </w:p>
        </w:tc>
      </w:tr>
      <w:tr w:rsidR="000E0D83" w:rsidRPr="000E0D83">
        <w:trPr>
          <w:trHeight w:val="558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Утверждение и реализация плана работы МБУК «Невельский историко-краеведческий музей в вечернее время с мая по ноябрь и ночное время в Международный день музеев, в Ночь искусств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br w:type="page"/>
      </w:r>
      <w:r w:rsidRPr="000E0D83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Невельского городского округа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>от 03.02.2016г. № 130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67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78"/>
        <w:gridCol w:w="6"/>
        <w:gridCol w:w="560"/>
        <w:gridCol w:w="7"/>
        <w:gridCol w:w="1795"/>
        <w:gridCol w:w="1701"/>
        <w:gridCol w:w="1540"/>
        <w:gridCol w:w="1701"/>
        <w:gridCol w:w="709"/>
        <w:gridCol w:w="709"/>
        <w:gridCol w:w="706"/>
        <w:gridCol w:w="6"/>
        <w:gridCol w:w="704"/>
        <w:gridCol w:w="6"/>
        <w:gridCol w:w="704"/>
        <w:gridCol w:w="6"/>
        <w:gridCol w:w="703"/>
        <w:gridCol w:w="6"/>
        <w:gridCol w:w="703"/>
        <w:gridCol w:w="6"/>
        <w:gridCol w:w="703"/>
        <w:gridCol w:w="6"/>
        <w:gridCol w:w="702"/>
        <w:gridCol w:w="7"/>
      </w:tblGrid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№ и название Указа, основные задачи, изложенные в Указе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Мероприятия, обеспечивающие решение изложенных задач на муниципальном уровне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Целевой индикатор для Невельского городского округа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56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Указ Президента Российской Федерации от 07.05.2012 № 598 "О совершенствовании государственной политики в сфере здравоохранения"</w:t>
            </w:r>
          </w:p>
        </w:tc>
      </w:tr>
      <w:tr w:rsidR="000E0D83" w:rsidRPr="000E0D83">
        <w:trPr>
          <w:gridAfter w:val="1"/>
          <w:wAfter w:w="7" w:type="dxa"/>
          <w:trHeight w:val="330"/>
        </w:trPr>
        <w:tc>
          <w:tcPr>
            <w:tcW w:w="156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1. Правительству Российской Федерации:</w:t>
            </w:r>
          </w:p>
        </w:tc>
      </w:tr>
      <w:tr w:rsidR="000E0D83" w:rsidRPr="000E0D83">
        <w:trPr>
          <w:gridAfter w:val="1"/>
          <w:wAfter w:w="7" w:type="dxa"/>
          <w:trHeight w:val="315"/>
        </w:trPr>
        <w:tc>
          <w:tcPr>
            <w:tcW w:w="156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а) обеспечить к 2018 году:</w:t>
            </w:r>
          </w:p>
        </w:tc>
      </w:tr>
      <w:tr w:rsidR="000E0D83" w:rsidRPr="000E0D83">
        <w:trPr>
          <w:trHeight w:val="138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снижение смертности от дорожно-транспортных происшествий до 10,6 случая на 100 тыс. населения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Обеспечение безопасности жизнедеятельности в МО "Невельский городской округ" на 2015-2020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жилищного 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Число лиц, погибших в дорожно-транспортных происшествиях,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 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0 </w:t>
            </w:r>
          </w:p>
        </w:tc>
      </w:tr>
    </w:tbl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br w:type="page"/>
      </w:r>
      <w:r w:rsidRPr="000E0D83">
        <w:rPr>
          <w:rFonts w:ascii="Times New Roman" w:hAnsi="Times New Roman" w:cs="Times New Roman"/>
          <w:sz w:val="16"/>
          <w:szCs w:val="16"/>
        </w:rPr>
        <w:lastRenderedPageBreak/>
        <w:t>Приложение № 4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Невельского городского округа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>от 03.02.2016г. № 130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9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78"/>
        <w:gridCol w:w="6"/>
        <w:gridCol w:w="560"/>
        <w:gridCol w:w="7"/>
        <w:gridCol w:w="1615"/>
        <w:gridCol w:w="1701"/>
        <w:gridCol w:w="1540"/>
        <w:gridCol w:w="1701"/>
        <w:gridCol w:w="709"/>
        <w:gridCol w:w="709"/>
        <w:gridCol w:w="706"/>
        <w:gridCol w:w="6"/>
        <w:gridCol w:w="704"/>
        <w:gridCol w:w="6"/>
        <w:gridCol w:w="704"/>
        <w:gridCol w:w="6"/>
        <w:gridCol w:w="703"/>
        <w:gridCol w:w="6"/>
        <w:gridCol w:w="703"/>
        <w:gridCol w:w="6"/>
        <w:gridCol w:w="703"/>
        <w:gridCol w:w="6"/>
        <w:gridCol w:w="702"/>
        <w:gridCol w:w="7"/>
      </w:tblGrid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№ и название Указа, основные задачи, изложенные в Указе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Мероприятия, обеспечивающие решение изложенных задач на муниципальном уровне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Целевой индикатор для Невельского городского округа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54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Указ Президента Российской Федерации от 07.05.2012 N 602 «Об обеспечении межнационального согласия»</w:t>
            </w:r>
          </w:p>
        </w:tc>
      </w:tr>
      <w:tr w:rsidR="000E0D83" w:rsidRPr="000E0D83">
        <w:trPr>
          <w:gridAfter w:val="1"/>
          <w:wAfter w:w="7" w:type="dxa"/>
          <w:trHeight w:val="330"/>
        </w:trPr>
        <w:tc>
          <w:tcPr>
            <w:tcW w:w="154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1. Администрации Президента Российской Федерации совместно с Правительством Российской Федерации:</w:t>
            </w:r>
          </w:p>
        </w:tc>
      </w:tr>
      <w:tr w:rsidR="000E0D83" w:rsidRPr="000E0D83">
        <w:trPr>
          <w:trHeight w:val="138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Содействие этнокультурному многообразию народов, проживающих в Сахалинской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Количество мероприятий, проводимых Центром национальных культур МБУК «РДК им. Г.И. Невельского», ед.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17</w:t>
            </w:r>
          </w:p>
        </w:tc>
      </w:tr>
    </w:tbl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br w:type="page"/>
      </w:r>
      <w:r w:rsidRPr="000E0D83">
        <w:rPr>
          <w:rFonts w:ascii="Times New Roman" w:hAnsi="Times New Roman" w:cs="Times New Roman"/>
          <w:sz w:val="16"/>
          <w:szCs w:val="16"/>
        </w:rPr>
        <w:lastRenderedPageBreak/>
        <w:t>Приложение № 5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Невельского городского округа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>от 03.02.2016г. № 130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9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78"/>
        <w:gridCol w:w="6"/>
        <w:gridCol w:w="560"/>
        <w:gridCol w:w="7"/>
        <w:gridCol w:w="1615"/>
        <w:gridCol w:w="1701"/>
        <w:gridCol w:w="1843"/>
        <w:gridCol w:w="1701"/>
        <w:gridCol w:w="709"/>
        <w:gridCol w:w="709"/>
        <w:gridCol w:w="706"/>
        <w:gridCol w:w="6"/>
        <w:gridCol w:w="704"/>
        <w:gridCol w:w="6"/>
        <w:gridCol w:w="704"/>
        <w:gridCol w:w="6"/>
        <w:gridCol w:w="703"/>
        <w:gridCol w:w="6"/>
        <w:gridCol w:w="703"/>
        <w:gridCol w:w="6"/>
        <w:gridCol w:w="703"/>
        <w:gridCol w:w="6"/>
        <w:gridCol w:w="702"/>
        <w:gridCol w:w="7"/>
      </w:tblGrid>
      <w:tr w:rsidR="000E0D83" w:rsidRPr="000E0D83">
        <w:trPr>
          <w:gridAfter w:val="1"/>
          <w:wAfter w:w="7" w:type="dxa"/>
          <w:trHeight w:val="30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№ и название Указа, основные задачи, изложенные в Указе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Мероприятия, обеспечивающие решение изложенных задач на муниципальном уровне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Целевой индикатор для Невельского городского округа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57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sz w:val="16"/>
                <w:szCs w:val="16"/>
              </w:rPr>
              <w:t>Указ Президента Российской Федерации от 07.05.2012 N 604 "О дальнейшем совершенствовании военной службы в Российской Федерации"</w:t>
            </w:r>
          </w:p>
        </w:tc>
      </w:tr>
      <w:tr w:rsidR="000E0D83" w:rsidRPr="000E0D83">
        <w:trPr>
          <w:gridAfter w:val="1"/>
          <w:wAfter w:w="7" w:type="dxa"/>
          <w:trHeight w:val="330"/>
        </w:trPr>
        <w:tc>
          <w:tcPr>
            <w:tcW w:w="157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sz w:val="16"/>
                <w:szCs w:val="16"/>
              </w:rPr>
              <w:t>2. Правительству Российской Федерации обеспечить в 2012 году:</w:t>
            </w:r>
          </w:p>
        </w:tc>
      </w:tr>
      <w:tr w:rsidR="000E0D83" w:rsidRPr="000E0D83">
        <w:trPr>
          <w:trHeight w:val="138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г) организацию работы по военно-патриотическому воспитанию учащихся общеобразовательных учреждений и их физическому развитию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Развитие культуры в муниципальном образовании "Невельский городской округ"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Количество мероприятий патриотической направленности, проводимых для молодежи,  в возрасте от 14 до 30 лет,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sz w:val="16"/>
                <w:szCs w:val="16"/>
              </w:rPr>
            </w:pPr>
            <w:r w:rsidRPr="000E0D83">
              <w:rPr>
                <w:sz w:val="16"/>
                <w:szCs w:val="16"/>
              </w:rPr>
              <w:t>100</w:t>
            </w:r>
          </w:p>
        </w:tc>
      </w:tr>
    </w:tbl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br w:type="page"/>
      </w:r>
      <w:r w:rsidRPr="000E0D83">
        <w:rPr>
          <w:rFonts w:ascii="Times New Roman" w:hAnsi="Times New Roman" w:cs="Times New Roman"/>
          <w:sz w:val="16"/>
          <w:szCs w:val="16"/>
        </w:rPr>
        <w:lastRenderedPageBreak/>
        <w:t>Приложение № 6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 xml:space="preserve">Невельского городского округа 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0E0D83">
        <w:rPr>
          <w:rFonts w:ascii="Times New Roman" w:hAnsi="Times New Roman" w:cs="Times New Roman"/>
          <w:sz w:val="16"/>
          <w:szCs w:val="16"/>
        </w:rPr>
        <w:t>от 03.02.2016г. № 130</w:t>
      </w:r>
    </w:p>
    <w:p w:rsidR="000E0D83" w:rsidRPr="000E0D83" w:rsidRDefault="000E0D83" w:rsidP="000E0D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9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78"/>
        <w:gridCol w:w="6"/>
        <w:gridCol w:w="560"/>
        <w:gridCol w:w="7"/>
        <w:gridCol w:w="1795"/>
        <w:gridCol w:w="1701"/>
        <w:gridCol w:w="1360"/>
        <w:gridCol w:w="1701"/>
        <w:gridCol w:w="709"/>
        <w:gridCol w:w="709"/>
        <w:gridCol w:w="706"/>
        <w:gridCol w:w="6"/>
        <w:gridCol w:w="704"/>
        <w:gridCol w:w="6"/>
        <w:gridCol w:w="704"/>
        <w:gridCol w:w="6"/>
        <w:gridCol w:w="703"/>
        <w:gridCol w:w="6"/>
        <w:gridCol w:w="703"/>
        <w:gridCol w:w="6"/>
        <w:gridCol w:w="703"/>
        <w:gridCol w:w="6"/>
        <w:gridCol w:w="702"/>
        <w:gridCol w:w="7"/>
      </w:tblGrid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№ и название Указа, основные задачи, изложенные в Указе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Мероприятия, обеспечивающие решение изложенных задач на муниципальном уровне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Целевой индикатор для Невельского городского округа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0E0D83" w:rsidRPr="000E0D83">
        <w:trPr>
          <w:gridAfter w:val="1"/>
          <w:wAfter w:w="7" w:type="dxa"/>
          <w:trHeight w:val="300"/>
        </w:trPr>
        <w:tc>
          <w:tcPr>
            <w:tcW w:w="154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Указ Президента Российской Федерации от 07.05.2012 N 605 "О мерах по реализации внешнеполитического курса Российской Федерации"</w:t>
            </w:r>
          </w:p>
        </w:tc>
      </w:tr>
      <w:tr w:rsidR="000E0D83" w:rsidRPr="000E0D83">
        <w:trPr>
          <w:gridAfter w:val="1"/>
          <w:wAfter w:w="7" w:type="dxa"/>
          <w:trHeight w:val="330"/>
        </w:trPr>
        <w:tc>
          <w:tcPr>
            <w:tcW w:w="154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D83" w:rsidRPr="000E0D83" w:rsidRDefault="000E0D83" w:rsidP="006943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0D83">
              <w:rPr>
                <w:b/>
                <w:bCs/>
                <w:color w:val="000000"/>
                <w:sz w:val="16"/>
                <w:szCs w:val="16"/>
              </w:rPr>
              <w:t>1. Министерству иностранных дел Российской Федерации совместно с другими федеральными органами исполнительной власти:</w:t>
            </w:r>
          </w:p>
        </w:tc>
      </w:tr>
      <w:tr w:rsidR="000E0D83" w:rsidRPr="000E0D83">
        <w:trPr>
          <w:trHeight w:val="138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расширять российское культурное присутствие за рубежом, укреплять позиции русского языка в мире, развивать сеть российских центров науки и культуры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Проведение международных, межрегиональных, областных фестивалей, выставок и иных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Развитие культуры в муниципальном образовании "Невельский городской округ" на 2015-2020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Отдел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 xml:space="preserve">Количество международных  мероприятий, единиц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D83" w:rsidRPr="000E0D83" w:rsidRDefault="000E0D83" w:rsidP="0069439D">
            <w:pPr>
              <w:jc w:val="center"/>
              <w:rPr>
                <w:color w:val="000000"/>
                <w:sz w:val="16"/>
                <w:szCs w:val="16"/>
              </w:rPr>
            </w:pPr>
            <w:r w:rsidRPr="000E0D83"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E0D83" w:rsidRPr="000E0D83" w:rsidRDefault="000E0D83" w:rsidP="000E0D83">
      <w:pPr>
        <w:jc w:val="both"/>
        <w:rPr>
          <w:sz w:val="16"/>
          <w:szCs w:val="16"/>
        </w:rPr>
      </w:pPr>
    </w:p>
    <w:p w:rsidR="000E0D83" w:rsidRPr="000E0D83" w:rsidRDefault="000E0D83" w:rsidP="000E0D83">
      <w:pPr>
        <w:jc w:val="both"/>
        <w:rPr>
          <w:sz w:val="16"/>
          <w:szCs w:val="16"/>
        </w:rPr>
      </w:pPr>
    </w:p>
    <w:p w:rsidR="000E0D83" w:rsidRPr="000E0D83" w:rsidRDefault="000E0D83" w:rsidP="000E0D83">
      <w:pPr>
        <w:jc w:val="both"/>
        <w:rPr>
          <w:sz w:val="16"/>
          <w:szCs w:val="16"/>
        </w:rPr>
      </w:pPr>
    </w:p>
    <w:p w:rsidR="000E0D83" w:rsidRPr="000E0D83" w:rsidRDefault="000E0D83" w:rsidP="000E0D83">
      <w:pPr>
        <w:jc w:val="both"/>
        <w:rPr>
          <w:sz w:val="16"/>
          <w:szCs w:val="16"/>
        </w:rPr>
      </w:pPr>
    </w:p>
    <w:p w:rsidR="000E0D83" w:rsidRPr="000E0D83" w:rsidRDefault="000E0D83" w:rsidP="000E0D83">
      <w:pPr>
        <w:jc w:val="both"/>
        <w:rPr>
          <w:sz w:val="16"/>
          <w:szCs w:val="16"/>
        </w:rPr>
      </w:pPr>
    </w:p>
    <w:p w:rsidR="000E0D83" w:rsidRPr="000E0D83" w:rsidRDefault="000E0D83" w:rsidP="000E0D83">
      <w:pPr>
        <w:jc w:val="both"/>
        <w:rPr>
          <w:sz w:val="16"/>
          <w:szCs w:val="16"/>
        </w:rPr>
      </w:pPr>
    </w:p>
    <w:p w:rsidR="000E0D83" w:rsidRPr="000E0D83" w:rsidRDefault="000E0D83">
      <w:pPr>
        <w:rPr>
          <w:sz w:val="16"/>
          <w:szCs w:val="16"/>
        </w:rPr>
      </w:pPr>
    </w:p>
    <w:sectPr w:rsidR="000E0D83" w:rsidRPr="000E0D83" w:rsidSect="000E0D83">
      <w:footerReference w:type="default" r:id="rId7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55" w:rsidRDefault="000A1655">
      <w:r>
        <w:separator/>
      </w:r>
    </w:p>
  </w:endnote>
  <w:endnote w:type="continuationSeparator" w:id="0">
    <w:p w:rsidR="000A1655" w:rsidRDefault="000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5E12D8" w:rsidRDefault="00E269BE" w:rsidP="005E12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55" w:rsidRDefault="000A1655">
      <w:r>
        <w:separator/>
      </w:r>
    </w:p>
  </w:footnote>
  <w:footnote w:type="continuationSeparator" w:id="0">
    <w:p w:rsidR="000A1655" w:rsidRDefault="000A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2-03'}"/>
    <w:docVar w:name="attr1#Наименование" w:val="VARCHAR#О внесении изменений в постановление администрации Невельского городского округа от 20.07.2015г. № 969 &quot;Об утверждении Плана мероприятий администрации Невельского городского округапо выполнению Указов Президента Российской Федерации В.В. Путина от 07.05.2012 год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2-03'}"/>
    <w:docVar w:name="attr5#Бланк" w:val="OID_TYPE#"/>
    <w:docVar w:name="attr6#Номер документа" w:val="VARCHAR#130"/>
    <w:docVar w:name="attr7#Дата подписания" w:val="DATE#{d '2016-02-03'}"/>
    <w:docVar w:name="ESED_AutorEdition" w:val="Полякова Нина Васильевна"/>
    <w:docVar w:name="ESED_Edition" w:val="1"/>
    <w:docVar w:name="ESED_IDnum" w:val="21/2016-247"/>
    <w:docVar w:name="ESED_Lock" w:val="1"/>
    <w:docVar w:name="SPD_Annotation" w:val="N 130 от 03.02.2016 22/2016-247#О внесении изменений в постановление администрации Невельского городского округа от 20.07.2015г. № 969 &quot;Об утверждении Плана мероприятий администрации Невельского городского округапо выполнению Указов Президента Российской Федерации В.В. Путина от 07.05.2012 год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3.02.2016"/>
    <w:docVar w:name="SPD_AreaName" w:val="Документ (ЕСЭД)"/>
    <w:docVar w:name="SPD_hostURL" w:val="storm"/>
    <w:docVar w:name="SPD_NumDoc" w:val="620290591"/>
    <w:docVar w:name="SPD_vDir" w:val="spd"/>
  </w:docVars>
  <w:rsids>
    <w:rsidRoot w:val="000E0D83"/>
    <w:rsid w:val="000A1655"/>
    <w:rsid w:val="000E0D83"/>
    <w:rsid w:val="001611D2"/>
    <w:rsid w:val="001F534B"/>
    <w:rsid w:val="005E12D8"/>
    <w:rsid w:val="0069439D"/>
    <w:rsid w:val="00AE3664"/>
    <w:rsid w:val="00CB4E6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38B5A9-8188-43F1-A8DE-1FDBA530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8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E0D8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E0D8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E0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E0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E0D8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E0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2528</Words>
  <Characters>14411</Characters>
  <Application>Microsoft Office Word</Application>
  <DocSecurity>0</DocSecurity>
  <Lines>120</Lines>
  <Paragraphs>33</Paragraphs>
  <ScaleCrop>false</ScaleCrop>
  <Company>Администрация. Невельск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2025-01-30T00:51:00Z</dcterms:created>
  <dcterms:modified xsi:type="dcterms:W3CDTF">2025-01-30T00:51:00Z</dcterms:modified>
</cp:coreProperties>
</file>