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C6" w:rsidRDefault="00AC52A7" w:rsidP="00D468C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8C6" w:rsidRDefault="00D468C6" w:rsidP="00D468C6">
      <w:pPr>
        <w:jc w:val="center"/>
        <w:rPr>
          <w:lang w:val="en-US"/>
        </w:rPr>
      </w:pPr>
    </w:p>
    <w:p w:rsidR="00D468C6" w:rsidRDefault="00D468C6" w:rsidP="00D468C6">
      <w:pPr>
        <w:jc w:val="center"/>
        <w:rPr>
          <w:lang w:val="en-US"/>
        </w:rPr>
      </w:pPr>
    </w:p>
    <w:p w:rsidR="00D468C6" w:rsidRDefault="00D468C6" w:rsidP="00D468C6">
      <w:pPr>
        <w:jc w:val="center"/>
        <w:rPr>
          <w:lang w:val="en-US"/>
        </w:rPr>
      </w:pPr>
    </w:p>
    <w:p w:rsidR="00D468C6" w:rsidRDefault="00D468C6" w:rsidP="00D468C6">
      <w:pPr>
        <w:jc w:val="center"/>
        <w:rPr>
          <w:lang w:val="en-US"/>
        </w:rPr>
      </w:pPr>
    </w:p>
    <w:p w:rsidR="00D468C6" w:rsidRDefault="00D468C6" w:rsidP="00D468C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468C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468C6" w:rsidRDefault="00D468C6" w:rsidP="00C534A7">
            <w:pPr>
              <w:pStyle w:val="7"/>
            </w:pPr>
            <w:r>
              <w:t>ПОСТАНОВЛЕНИЕ</w:t>
            </w:r>
          </w:p>
          <w:p w:rsidR="00D468C6" w:rsidRDefault="00D468C6" w:rsidP="00C534A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468C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468C6" w:rsidRDefault="00AC52A7" w:rsidP="00C534A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8C6" w:rsidRDefault="00D468C6" w:rsidP="00D468C6">
                                  <w:r>
                                    <w:t>1634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468C6" w:rsidRDefault="00D468C6" w:rsidP="00D468C6">
                            <w:r>
                              <w:t>1634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8C6" w:rsidRDefault="00D468C6" w:rsidP="00D468C6">
                                  <w:r>
                                    <w:t>18.12.2015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468C6" w:rsidRDefault="00D468C6" w:rsidP="00D468C6">
                            <w:r>
                              <w:t>18.12.2015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68C6">
              <w:rPr>
                <w:rFonts w:ascii="Courier New" w:hAnsi="Courier New" w:cs="Courier New"/>
              </w:rPr>
              <w:t>от              №</w:t>
            </w:r>
          </w:p>
          <w:p w:rsidR="00D468C6" w:rsidRDefault="00D468C6" w:rsidP="00C534A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468C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468C6" w:rsidRDefault="00D468C6" w:rsidP="00C534A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468C6" w:rsidRDefault="00D468C6" w:rsidP="00C534A7">
            <w:pPr>
              <w:spacing w:after="240"/>
              <w:ind w:left="539"/>
              <w:jc w:val="center"/>
            </w:pPr>
          </w:p>
        </w:tc>
      </w:tr>
      <w:tr w:rsidR="00D468C6" w:rsidRPr="00D468C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468C6" w:rsidRPr="00D468C6" w:rsidRDefault="00D468C6" w:rsidP="00D468C6">
            <w:pPr>
              <w:jc w:val="both"/>
              <w:rPr>
                <w:sz w:val="28"/>
                <w:szCs w:val="28"/>
              </w:rPr>
            </w:pPr>
            <w:r w:rsidRPr="00D468C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D468C6">
              <w:rPr>
                <w:sz w:val="28"/>
                <w:szCs w:val="28"/>
              </w:rPr>
              <w:t xml:space="preserve"> утверждении Плана мероприятий муниципального образования «Невельский городск</w:t>
            </w:r>
            <w:r>
              <w:rPr>
                <w:sz w:val="28"/>
                <w:szCs w:val="28"/>
              </w:rPr>
              <w:t>ой округ» по поддержке изучения</w:t>
            </w:r>
            <w:r w:rsidRPr="00D468C6">
              <w:rPr>
                <w:sz w:val="28"/>
                <w:szCs w:val="28"/>
              </w:rPr>
              <w:t xml:space="preserve"> и преподавания русского языка в 2015-2016 годах</w:t>
            </w:r>
          </w:p>
        </w:tc>
        <w:tc>
          <w:tcPr>
            <w:tcW w:w="5103" w:type="dxa"/>
          </w:tcPr>
          <w:p w:rsidR="00D468C6" w:rsidRPr="00D468C6" w:rsidRDefault="00D468C6" w:rsidP="00D468C6">
            <w:pPr>
              <w:jc w:val="both"/>
              <w:rPr>
                <w:sz w:val="28"/>
                <w:szCs w:val="28"/>
              </w:rPr>
            </w:pPr>
          </w:p>
        </w:tc>
      </w:tr>
      <w:tr w:rsidR="00D468C6" w:rsidRPr="00D468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468C6" w:rsidRPr="00D468C6" w:rsidRDefault="00D468C6" w:rsidP="00D468C6">
            <w:pPr>
              <w:jc w:val="both"/>
              <w:rPr>
                <w:sz w:val="28"/>
                <w:szCs w:val="28"/>
              </w:rPr>
            </w:pPr>
          </w:p>
        </w:tc>
      </w:tr>
    </w:tbl>
    <w:p w:rsidR="00D468C6" w:rsidRDefault="00D468C6" w:rsidP="00D468C6">
      <w:pPr>
        <w:ind w:firstLine="708"/>
        <w:jc w:val="both"/>
        <w:rPr>
          <w:sz w:val="28"/>
          <w:szCs w:val="28"/>
        </w:rPr>
      </w:pPr>
      <w:r w:rsidRPr="00D468C6">
        <w:rPr>
          <w:sz w:val="28"/>
          <w:szCs w:val="28"/>
        </w:rPr>
        <w:t>В целях реализации положений Указа Президента Российской Федерации от 19 декабря 2012 года № 1666 «О Стратегии государственной  национальной политики Российской Федерации на период до 2025 года», в соответствии с распоряжением Правительства Сахалинской области  от 30 ноября 2015</w:t>
      </w:r>
      <w:r>
        <w:rPr>
          <w:sz w:val="28"/>
          <w:szCs w:val="28"/>
        </w:rPr>
        <w:t>г.</w:t>
      </w:r>
      <w:r w:rsidRPr="00D468C6">
        <w:rPr>
          <w:sz w:val="28"/>
          <w:szCs w:val="28"/>
        </w:rPr>
        <w:t xml:space="preserve"> № 580-р «Об утверждении Плана мероприятий Сахалинской области по поддержке изучения  и преподавания русского языка в 2015-2016 годах», руководствуясь статьями 44, 45 Устава муниципального образования «Невельский городской округ»</w:t>
      </w:r>
      <w:r>
        <w:rPr>
          <w:sz w:val="28"/>
          <w:szCs w:val="28"/>
        </w:rPr>
        <w:t>, администрация Невельского городского округа</w:t>
      </w:r>
    </w:p>
    <w:p w:rsidR="00D468C6" w:rsidRPr="00D468C6" w:rsidRDefault="00D468C6" w:rsidP="00D468C6">
      <w:pPr>
        <w:ind w:firstLine="708"/>
        <w:jc w:val="both"/>
        <w:rPr>
          <w:sz w:val="28"/>
          <w:szCs w:val="28"/>
        </w:rPr>
      </w:pPr>
    </w:p>
    <w:p w:rsidR="00D468C6" w:rsidRPr="00D468C6" w:rsidRDefault="00D468C6" w:rsidP="00D468C6">
      <w:pPr>
        <w:jc w:val="both"/>
        <w:rPr>
          <w:sz w:val="28"/>
          <w:szCs w:val="28"/>
        </w:rPr>
      </w:pPr>
      <w:r w:rsidRPr="00D468C6">
        <w:rPr>
          <w:sz w:val="28"/>
          <w:szCs w:val="28"/>
        </w:rPr>
        <w:t>ПОСТАНОВЛЯЕТ:</w:t>
      </w:r>
    </w:p>
    <w:p w:rsidR="00D468C6" w:rsidRPr="00D468C6" w:rsidRDefault="00D468C6" w:rsidP="00D468C6">
      <w:pPr>
        <w:jc w:val="both"/>
        <w:rPr>
          <w:sz w:val="28"/>
          <w:szCs w:val="28"/>
        </w:rPr>
      </w:pPr>
    </w:p>
    <w:p w:rsidR="00D468C6" w:rsidRPr="00D468C6" w:rsidRDefault="00D468C6" w:rsidP="00D46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68C6">
        <w:rPr>
          <w:sz w:val="28"/>
          <w:szCs w:val="28"/>
        </w:rPr>
        <w:t xml:space="preserve"> Утвердить План мероприятий муниципального образования «Невельский городской округ» по поддержке изучения  и преподавания русского языка в 2015-2016 годах (прилагается).  </w:t>
      </w:r>
    </w:p>
    <w:p w:rsidR="00D468C6" w:rsidRPr="00D468C6" w:rsidRDefault="00D468C6" w:rsidP="00D468C6">
      <w:pPr>
        <w:ind w:firstLine="708"/>
        <w:jc w:val="both"/>
        <w:rPr>
          <w:sz w:val="28"/>
          <w:szCs w:val="28"/>
        </w:rPr>
      </w:pPr>
      <w:r w:rsidRPr="00D468C6">
        <w:rPr>
          <w:sz w:val="28"/>
          <w:szCs w:val="28"/>
        </w:rPr>
        <w:t>2. Отд</w:t>
      </w:r>
      <w:r>
        <w:rPr>
          <w:sz w:val="28"/>
          <w:szCs w:val="28"/>
        </w:rPr>
        <w:t xml:space="preserve">елу образования администрации </w:t>
      </w:r>
      <w:r w:rsidRPr="00D468C6">
        <w:rPr>
          <w:sz w:val="28"/>
          <w:szCs w:val="28"/>
        </w:rPr>
        <w:t xml:space="preserve">Невельского городского округа </w:t>
      </w:r>
      <w:r>
        <w:rPr>
          <w:sz w:val="28"/>
          <w:szCs w:val="28"/>
        </w:rPr>
        <w:t>(Тен О.Д.)</w:t>
      </w:r>
      <w:r w:rsidRPr="00D468C6">
        <w:rPr>
          <w:sz w:val="28"/>
          <w:szCs w:val="28"/>
        </w:rPr>
        <w:t xml:space="preserve"> ежеквартально </w:t>
      </w:r>
      <w:r>
        <w:rPr>
          <w:sz w:val="28"/>
          <w:szCs w:val="28"/>
        </w:rPr>
        <w:t>до 5 числа, следующего</w:t>
      </w:r>
      <w:r w:rsidRPr="00D468C6">
        <w:rPr>
          <w:sz w:val="28"/>
          <w:szCs w:val="28"/>
        </w:rPr>
        <w:t xml:space="preserve"> за отчетным периодом, предост</w:t>
      </w:r>
      <w:r>
        <w:rPr>
          <w:sz w:val="28"/>
          <w:szCs w:val="28"/>
        </w:rPr>
        <w:t xml:space="preserve">авлять информацию о выполнении </w:t>
      </w:r>
      <w:r w:rsidRPr="00D468C6">
        <w:rPr>
          <w:sz w:val="28"/>
          <w:szCs w:val="28"/>
        </w:rPr>
        <w:t>Плана мероприятий муниципального образования «Невельский городской</w:t>
      </w:r>
      <w:r>
        <w:rPr>
          <w:sz w:val="28"/>
          <w:szCs w:val="28"/>
        </w:rPr>
        <w:t xml:space="preserve"> округ» по поддержке изучения </w:t>
      </w:r>
      <w:r w:rsidRPr="00D468C6">
        <w:rPr>
          <w:sz w:val="28"/>
          <w:szCs w:val="28"/>
        </w:rPr>
        <w:t>и преподавания русского языка в 2015-2016 годах.</w:t>
      </w:r>
    </w:p>
    <w:p w:rsidR="00D468C6" w:rsidRDefault="00D468C6" w:rsidP="00D468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разместить на официальном сайте администрации Невельского городского округа.</w:t>
      </w:r>
    </w:p>
    <w:p w:rsidR="00D468C6" w:rsidRPr="00D468C6" w:rsidRDefault="00D468C6" w:rsidP="00D46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468C6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D468C6" w:rsidRDefault="00D468C6" w:rsidP="00D468C6">
      <w:pPr>
        <w:jc w:val="both"/>
        <w:rPr>
          <w:sz w:val="28"/>
          <w:szCs w:val="28"/>
        </w:rPr>
      </w:pPr>
    </w:p>
    <w:p w:rsidR="00D468C6" w:rsidRDefault="00D468C6" w:rsidP="00D468C6">
      <w:pPr>
        <w:jc w:val="both"/>
        <w:rPr>
          <w:sz w:val="28"/>
          <w:szCs w:val="28"/>
        </w:rPr>
      </w:pPr>
    </w:p>
    <w:p w:rsidR="00D468C6" w:rsidRPr="00D468C6" w:rsidRDefault="00D468C6" w:rsidP="00D468C6">
      <w:pPr>
        <w:jc w:val="both"/>
        <w:rPr>
          <w:sz w:val="28"/>
          <w:szCs w:val="28"/>
        </w:rPr>
      </w:pPr>
    </w:p>
    <w:p w:rsidR="00D468C6" w:rsidRPr="00D468C6" w:rsidRDefault="00D468C6" w:rsidP="00D468C6">
      <w:pPr>
        <w:jc w:val="both"/>
        <w:rPr>
          <w:sz w:val="28"/>
          <w:szCs w:val="28"/>
        </w:rPr>
      </w:pPr>
      <w:r w:rsidRPr="00D468C6">
        <w:rPr>
          <w:sz w:val="28"/>
          <w:szCs w:val="28"/>
        </w:rPr>
        <w:t>Мэр Невельского городского округа</w:t>
      </w:r>
      <w:r w:rsidRPr="00D468C6">
        <w:rPr>
          <w:sz w:val="28"/>
          <w:szCs w:val="28"/>
        </w:rPr>
        <w:tab/>
      </w:r>
      <w:r w:rsidRPr="00D468C6">
        <w:rPr>
          <w:sz w:val="28"/>
          <w:szCs w:val="28"/>
        </w:rPr>
        <w:tab/>
      </w:r>
      <w:r w:rsidRPr="00D468C6">
        <w:rPr>
          <w:sz w:val="28"/>
          <w:szCs w:val="28"/>
        </w:rPr>
        <w:tab/>
        <w:t xml:space="preserve">                В.Н. Пак</w:t>
      </w: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</w:pPr>
    </w:p>
    <w:p w:rsidR="00D468C6" w:rsidRDefault="00D468C6" w:rsidP="00D468C6">
      <w:pPr>
        <w:tabs>
          <w:tab w:val="num" w:pos="0"/>
        </w:tabs>
        <w:spacing w:line="360" w:lineRule="auto"/>
        <w:ind w:right="-1" w:firstLine="540"/>
        <w:jc w:val="both"/>
        <w:rPr>
          <w:b/>
          <w:bCs/>
          <w:sz w:val="26"/>
          <w:szCs w:val="26"/>
        </w:rPr>
        <w:sectPr w:rsidR="00D468C6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D468C6" w:rsidRPr="00D468C6" w:rsidRDefault="00D468C6" w:rsidP="00D468C6">
      <w:pPr>
        <w:jc w:val="right"/>
      </w:pPr>
      <w:r w:rsidRPr="00D468C6">
        <w:lastRenderedPageBreak/>
        <w:t>УТВЕРЖДЕН</w:t>
      </w:r>
    </w:p>
    <w:p w:rsidR="00D468C6" w:rsidRPr="00D468C6" w:rsidRDefault="00D468C6" w:rsidP="00D468C6">
      <w:pPr>
        <w:jc w:val="right"/>
      </w:pPr>
      <w:r>
        <w:t>постановл</w:t>
      </w:r>
      <w:r w:rsidRPr="00D468C6">
        <w:t>ением администрации</w:t>
      </w:r>
    </w:p>
    <w:p w:rsidR="00D468C6" w:rsidRDefault="00D468C6" w:rsidP="00D468C6">
      <w:pPr>
        <w:jc w:val="right"/>
      </w:pPr>
      <w:r>
        <w:t>Невельского городского округ</w:t>
      </w:r>
    </w:p>
    <w:p w:rsidR="00D468C6" w:rsidRPr="00D468C6" w:rsidRDefault="00D468C6" w:rsidP="00D468C6">
      <w:pPr>
        <w:jc w:val="right"/>
      </w:pPr>
      <w:r>
        <w:t xml:space="preserve">от 18.12.2015г. </w:t>
      </w:r>
      <w:r w:rsidRPr="00D468C6">
        <w:t>№</w:t>
      </w:r>
      <w:r>
        <w:t xml:space="preserve"> 1634</w:t>
      </w:r>
    </w:p>
    <w:p w:rsidR="00D468C6" w:rsidRPr="00D468C6" w:rsidRDefault="00D468C6" w:rsidP="00D468C6">
      <w:pPr>
        <w:jc w:val="center"/>
      </w:pPr>
      <w:r w:rsidRPr="00D468C6">
        <w:t>План</w:t>
      </w:r>
    </w:p>
    <w:p w:rsidR="00D468C6" w:rsidRDefault="00D468C6" w:rsidP="00D468C6">
      <w:pPr>
        <w:jc w:val="center"/>
      </w:pPr>
      <w:r w:rsidRPr="00D468C6">
        <w:t xml:space="preserve">мероприятий муниципального образования «Невельский городской округ» </w:t>
      </w:r>
    </w:p>
    <w:p w:rsidR="00D468C6" w:rsidRPr="00D468C6" w:rsidRDefault="00D468C6" w:rsidP="00D468C6">
      <w:pPr>
        <w:jc w:val="center"/>
      </w:pPr>
      <w:r w:rsidRPr="00D468C6">
        <w:t>по поддержке изучения  и преподавания русского языка в 2015-2016 годах</w:t>
      </w:r>
    </w:p>
    <w:p w:rsidR="00D468C6" w:rsidRPr="00D468C6" w:rsidRDefault="00D468C6" w:rsidP="00D468C6">
      <w:pPr>
        <w:jc w:val="center"/>
      </w:pPr>
    </w:p>
    <w:tbl>
      <w:tblPr>
        <w:tblStyle w:val="a7"/>
        <w:tblW w:w="1500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3576"/>
        <w:gridCol w:w="2600"/>
        <w:gridCol w:w="2284"/>
        <w:gridCol w:w="1800"/>
        <w:gridCol w:w="1980"/>
        <w:gridCol w:w="2113"/>
      </w:tblGrid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№ п\п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Наименование  мероприятия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Срок исполнения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Ответственные исполнители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Источники финансирования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Индикаторы  для контроля исполнения  мероприятия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Результат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мероприятия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1.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Участие  учителей  и обучающихся  в  муниципальных, региональных предметных и методических конкурсах, олимпиадах, форумах, конференциях,  семинарах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Ежегодно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В течение всего периода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Отдел образования, 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Местный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не менее  30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2.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Проведение Всероссийского  урока, посвященного  Дню  русского языка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II четверть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Отдел образования, 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Областной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не менее  800 чел.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3.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Участие  в областном конкурсе, посвященном Дню русского языка, среди учителей образовательных  учреждений  района.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Ежегодно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2 полугодие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Отдел образования, 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Местный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конкурса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 не  менее 1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4.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Проведение тематических уроков (словарных уроков) в день рождения великого лексикографа Владимира Даля в рамках года литературы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II четверть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2015 г.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Отдел образования, 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Областной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 не менее 150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5.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 xml:space="preserve">Проведение  районного </w:t>
            </w:r>
            <w:r w:rsidRPr="00D468C6">
              <w:lastRenderedPageBreak/>
              <w:t>конкурса творческих работ,  посвященного 100-летию со дня рождения  К.М.Симонова,  и участие в областном конкурсе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>II четверть</w:t>
            </w:r>
          </w:p>
          <w:p w:rsidR="00D468C6" w:rsidRPr="00D468C6" w:rsidRDefault="00D468C6" w:rsidP="00D468C6">
            <w:pPr>
              <w:jc w:val="center"/>
            </w:pPr>
            <w:r w:rsidRPr="00D468C6">
              <w:lastRenderedPageBreak/>
              <w:t>2015 г.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 xml:space="preserve">Отдел образования, </w:t>
            </w:r>
            <w:r w:rsidRPr="00D468C6">
              <w:lastRenderedPageBreak/>
              <w:t>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 xml:space="preserve">Местный </w:t>
            </w:r>
            <w:r w:rsidRPr="00D468C6">
              <w:lastRenderedPageBreak/>
              <w:t>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 xml:space="preserve">Количество </w:t>
            </w:r>
            <w:r w:rsidRPr="00D468C6">
              <w:lastRenderedPageBreak/>
              <w:t>участников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 xml:space="preserve">Количество </w:t>
            </w:r>
            <w:r w:rsidRPr="00D468C6">
              <w:lastRenderedPageBreak/>
              <w:t>участников - 13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>6.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Проведение  семинаров  в рамках работы районного методического  объединения учителей русского языка и литературы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В течение года по плану работы районного методического  объединения учителей русского языка и литературы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Руководитель районного методического объединения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Не требует  финансирования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- 19</w:t>
            </w:r>
          </w:p>
        </w:tc>
      </w:tr>
      <w:tr w:rsidR="00D468C6" w:rsidRPr="00D468C6">
        <w:trPr>
          <w:trHeight w:val="1467"/>
        </w:trPr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7.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Проведение  предметных недель русского языка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III  четверть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Администрация общеобразовательного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Областной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участников: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учителей – 19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обучающихся – 900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8.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Обсуждение  проекта Концепции преподавания  русского языка и литературы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II четверть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2015 г.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Отдел образования, 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Не требует  финансирования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- 19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9.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Курсы повышения квалификации для учителей русского языка и литературы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Ежегодно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в течение всего периода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Отдел образования, 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Областной (ФГОС) и местный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слушателей курсов, чел.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слушателей курсов  -   чел.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10.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Мастер – классы и открытые уроки  учителей русского языка в рамках  распространения передового педагогического опыта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Ежегодно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в течение всего периода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Отдел образования, 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Областной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учителей-участников мероприятий,  количество мастер-классов, уроков, ед.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учителей -участников – не менее 3,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количество мастер-классов -   3, уроков - 3 ед.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11.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 xml:space="preserve">Участие  в областной научно-практической конференции </w:t>
            </w:r>
            <w:r w:rsidRPr="00D468C6">
              <w:lastRenderedPageBreak/>
              <w:t>школьников (секция «Филология»)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>Ежегодно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I квартал</w:t>
            </w:r>
          </w:p>
          <w:p w:rsidR="00D468C6" w:rsidRPr="00D468C6" w:rsidRDefault="00D468C6" w:rsidP="00D468C6">
            <w:pPr>
              <w:jc w:val="center"/>
            </w:pP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 xml:space="preserve">Отдел образования, образовательные </w:t>
            </w:r>
            <w:r w:rsidRPr="00D468C6">
              <w:lastRenderedPageBreak/>
              <w:t>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>Местный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участников, чел.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 xml:space="preserve">Количество участников – не </w:t>
            </w:r>
            <w:r w:rsidRPr="00D468C6">
              <w:lastRenderedPageBreak/>
              <w:t>менее 2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lastRenderedPageBreak/>
              <w:t>12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Проведение муниципального  этапа Всероссийской   олимпиады школьников по русскому языку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Ежегодно</w:t>
            </w:r>
          </w:p>
          <w:p w:rsidR="00D468C6" w:rsidRPr="00D468C6" w:rsidRDefault="00D468C6" w:rsidP="00D468C6">
            <w:pPr>
              <w:jc w:val="center"/>
            </w:pPr>
            <w:r w:rsidRPr="00D468C6">
              <w:t>II четверть</w:t>
            </w:r>
          </w:p>
          <w:p w:rsidR="00D468C6" w:rsidRPr="00D468C6" w:rsidRDefault="00D468C6" w:rsidP="00D468C6">
            <w:pPr>
              <w:jc w:val="center"/>
            </w:pP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Отдел образования, образовательные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Местный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участников, чел.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– не менее 15</w:t>
            </w:r>
          </w:p>
        </w:tc>
      </w:tr>
      <w:tr w:rsidR="00D468C6" w:rsidRPr="00D468C6">
        <w:tc>
          <w:tcPr>
            <w:tcW w:w="648" w:type="dxa"/>
          </w:tcPr>
          <w:p w:rsidR="00D468C6" w:rsidRPr="00D468C6" w:rsidRDefault="00D468C6" w:rsidP="00D468C6">
            <w:pPr>
              <w:jc w:val="center"/>
            </w:pPr>
            <w:r w:rsidRPr="00D468C6">
              <w:t>13.</w:t>
            </w:r>
          </w:p>
        </w:tc>
        <w:tc>
          <w:tcPr>
            <w:tcW w:w="3576" w:type="dxa"/>
          </w:tcPr>
          <w:p w:rsidR="00D468C6" w:rsidRPr="00D468C6" w:rsidRDefault="00D468C6" w:rsidP="00D468C6">
            <w:pPr>
              <w:jc w:val="center"/>
            </w:pPr>
            <w:r w:rsidRPr="00D468C6">
              <w:t>Проведение  факультативов, элективных курсов по русскому языку</w:t>
            </w:r>
          </w:p>
        </w:tc>
        <w:tc>
          <w:tcPr>
            <w:tcW w:w="2600" w:type="dxa"/>
          </w:tcPr>
          <w:p w:rsidR="00D468C6" w:rsidRPr="00D468C6" w:rsidRDefault="00D468C6" w:rsidP="00D468C6">
            <w:pPr>
              <w:jc w:val="center"/>
            </w:pPr>
            <w:r w:rsidRPr="00D468C6">
              <w:t>В течение учебного года</w:t>
            </w:r>
          </w:p>
        </w:tc>
        <w:tc>
          <w:tcPr>
            <w:tcW w:w="2284" w:type="dxa"/>
          </w:tcPr>
          <w:p w:rsidR="00D468C6" w:rsidRPr="00D468C6" w:rsidRDefault="00D468C6" w:rsidP="00D468C6">
            <w:pPr>
              <w:jc w:val="center"/>
            </w:pPr>
            <w:r w:rsidRPr="00D468C6">
              <w:t>Администрация общеобразовательного учреждения</w:t>
            </w:r>
          </w:p>
        </w:tc>
        <w:tc>
          <w:tcPr>
            <w:tcW w:w="1800" w:type="dxa"/>
          </w:tcPr>
          <w:p w:rsidR="00D468C6" w:rsidRPr="00D468C6" w:rsidRDefault="00D468C6" w:rsidP="00D468C6">
            <w:pPr>
              <w:jc w:val="center"/>
            </w:pPr>
            <w:r w:rsidRPr="00D468C6">
              <w:t>Областной бюджет</w:t>
            </w:r>
          </w:p>
        </w:tc>
        <w:tc>
          <w:tcPr>
            <w:tcW w:w="1980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участников, чел.</w:t>
            </w:r>
          </w:p>
        </w:tc>
        <w:tc>
          <w:tcPr>
            <w:tcW w:w="2113" w:type="dxa"/>
          </w:tcPr>
          <w:p w:rsidR="00D468C6" w:rsidRPr="00D468C6" w:rsidRDefault="00D468C6" w:rsidP="00D468C6">
            <w:pPr>
              <w:jc w:val="center"/>
            </w:pPr>
            <w:r w:rsidRPr="00D468C6">
              <w:t>Количество участников – не менее 20 чел.</w:t>
            </w:r>
          </w:p>
        </w:tc>
      </w:tr>
    </w:tbl>
    <w:p w:rsidR="00D468C6" w:rsidRPr="00D468C6" w:rsidRDefault="00D468C6" w:rsidP="00D468C6">
      <w:pPr>
        <w:jc w:val="center"/>
      </w:pPr>
    </w:p>
    <w:p w:rsidR="00D468C6" w:rsidRDefault="00D468C6" w:rsidP="00D468C6">
      <w:pPr>
        <w:jc w:val="both"/>
        <w:rPr>
          <w:b/>
          <w:bCs/>
          <w:sz w:val="26"/>
          <w:szCs w:val="26"/>
        </w:rPr>
        <w:sectPr w:rsidR="00D468C6" w:rsidSect="00D468C6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D468C6" w:rsidRDefault="00D468C6"/>
    <w:sectPr w:rsidR="00D468C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A3" w:rsidRDefault="00B771A3">
      <w:r>
        <w:separator/>
      </w:r>
    </w:p>
  </w:endnote>
  <w:endnote w:type="continuationSeparator" w:id="0">
    <w:p w:rsidR="00B771A3" w:rsidRDefault="00B7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A3" w:rsidRDefault="00B771A3">
      <w:r>
        <w:separator/>
      </w:r>
    </w:p>
  </w:footnote>
  <w:footnote w:type="continuationSeparator" w:id="0">
    <w:p w:rsidR="00B771A3" w:rsidRDefault="00B7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2687"/>
    <w:multiLevelType w:val="hybridMultilevel"/>
    <w:tmpl w:val="09BA6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а мероприятий муниципального образования &quot;Невельский городской округ&quot; по поддержке изучения и преподавания русского языка в 2015-2016 годах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12-18'}"/>
    <w:docVar w:name="attr5#Бланк" w:val="OID_TYPE#"/>
    <w:docVar w:name="attr6#Номер документа" w:val="VARCHAR#1634"/>
    <w:docVar w:name="attr7#Дата подписания" w:val="DATE#{d '2015-12-18'}"/>
    <w:docVar w:name="ESED_IDnum" w:val="22/2015-2637"/>
    <w:docVar w:name="ESED_Lock" w:val="0"/>
    <w:docVar w:name="SPD_Annotation" w:val="N 1634 от 18.12.2015 22/2015-2637#Об утверждении Плана мероприятий муниципального образования &quot;Невельский городской округ&quot; по поддержке изучения и преподавания русского языка в 2015-2016 годах#Постановления администрации Невельского Городского округа   ТЕН Ольга Дюнсуевна – начальник отдела#Дата создания редакции: 18.12.2015"/>
    <w:docVar w:name="SPD_AreaName" w:val="Документ (ЕСЭД)"/>
    <w:docVar w:name="SPD_hostURL" w:val="storm"/>
    <w:docVar w:name="SPD_NumDoc" w:val="620289203"/>
    <w:docVar w:name="SPD_vDir" w:val="spd"/>
  </w:docVars>
  <w:rsids>
    <w:rsidRoot w:val="00D468C6"/>
    <w:rsid w:val="0076085E"/>
    <w:rsid w:val="00AC52A7"/>
    <w:rsid w:val="00B771A3"/>
    <w:rsid w:val="00C534A7"/>
    <w:rsid w:val="00D468C6"/>
    <w:rsid w:val="00E269BE"/>
    <w:rsid w:val="00E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066A52-8538-4F55-953F-3517D99E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C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468C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468C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4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468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468C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D468C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4684</Characters>
  <Application>Microsoft Office Word</Application>
  <DocSecurity>0</DocSecurity>
  <Lines>39</Lines>
  <Paragraphs>10</Paragraphs>
  <ScaleCrop>false</ScaleCrop>
  <Company>Администрация. Невельск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2025-01-30T03:14:00Z</dcterms:created>
  <dcterms:modified xsi:type="dcterms:W3CDTF">2025-01-30T03:14:00Z</dcterms:modified>
</cp:coreProperties>
</file>