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8" w:rsidRDefault="008C4FAA" w:rsidP="0062615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58" w:rsidRDefault="00626158" w:rsidP="00626158">
      <w:pPr>
        <w:jc w:val="center"/>
        <w:rPr>
          <w:lang w:val="en-US"/>
        </w:rPr>
      </w:pPr>
    </w:p>
    <w:p w:rsidR="00626158" w:rsidRDefault="00626158" w:rsidP="00626158">
      <w:pPr>
        <w:jc w:val="center"/>
        <w:rPr>
          <w:lang w:val="en-US"/>
        </w:rPr>
      </w:pPr>
    </w:p>
    <w:p w:rsidR="00626158" w:rsidRDefault="00626158" w:rsidP="00626158">
      <w:pPr>
        <w:jc w:val="center"/>
        <w:rPr>
          <w:lang w:val="en-US"/>
        </w:rPr>
      </w:pPr>
    </w:p>
    <w:p w:rsidR="00626158" w:rsidRDefault="00626158" w:rsidP="00626158">
      <w:pPr>
        <w:jc w:val="center"/>
        <w:rPr>
          <w:lang w:val="en-US"/>
        </w:rPr>
      </w:pPr>
    </w:p>
    <w:p w:rsidR="00626158" w:rsidRDefault="00626158" w:rsidP="0062615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2615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26158" w:rsidRDefault="00626158" w:rsidP="00E33FF2">
            <w:pPr>
              <w:pStyle w:val="7"/>
            </w:pPr>
            <w:r>
              <w:t>ПОСТАНОВЛЕНИЕ</w:t>
            </w:r>
          </w:p>
          <w:p w:rsidR="00626158" w:rsidRDefault="00626158" w:rsidP="00E33FF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2615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26158" w:rsidRDefault="008C4FAA" w:rsidP="00E33FF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158" w:rsidRDefault="00626158" w:rsidP="00626158">
                                  <w:r>
                                    <w:t>718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26158" w:rsidRDefault="00626158" w:rsidP="00626158">
                            <w:r>
                              <w:t>718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158" w:rsidRDefault="00626158" w:rsidP="00626158">
                                  <w:r>
                                    <w:t>19.05.2016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26158" w:rsidRDefault="00626158" w:rsidP="00626158">
                            <w:r>
                              <w:t>19.05.2016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6158">
              <w:rPr>
                <w:rFonts w:ascii="Courier New" w:hAnsi="Courier New" w:cs="Courier New"/>
              </w:rPr>
              <w:t>от              №</w:t>
            </w:r>
          </w:p>
          <w:p w:rsidR="00626158" w:rsidRDefault="00626158" w:rsidP="00E33FF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2615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26158" w:rsidRDefault="00626158" w:rsidP="00E33FF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26158" w:rsidRDefault="00626158" w:rsidP="00E33FF2">
            <w:pPr>
              <w:spacing w:after="240"/>
              <w:ind w:left="539"/>
              <w:jc w:val="center"/>
            </w:pPr>
          </w:p>
        </w:tc>
      </w:tr>
      <w:tr w:rsidR="00626158" w:rsidRPr="0062615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26158" w:rsidRPr="00626158" w:rsidRDefault="00626158" w:rsidP="00626158">
            <w:pPr>
              <w:jc w:val="both"/>
              <w:rPr>
                <w:sz w:val="28"/>
                <w:szCs w:val="28"/>
              </w:rPr>
            </w:pPr>
            <w:r w:rsidRPr="00626158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626158">
              <w:rPr>
                <w:sz w:val="28"/>
                <w:szCs w:val="28"/>
              </w:rPr>
              <w:t>на возмещение затрат на открытие собственного дела начинающим субъектам малого  предпринимательства</w:t>
            </w:r>
          </w:p>
        </w:tc>
        <w:tc>
          <w:tcPr>
            <w:tcW w:w="5103" w:type="dxa"/>
          </w:tcPr>
          <w:p w:rsidR="00626158" w:rsidRPr="00626158" w:rsidRDefault="00626158" w:rsidP="00626158">
            <w:pPr>
              <w:jc w:val="both"/>
              <w:rPr>
                <w:sz w:val="28"/>
                <w:szCs w:val="28"/>
              </w:rPr>
            </w:pPr>
          </w:p>
        </w:tc>
      </w:tr>
      <w:tr w:rsidR="00626158" w:rsidRPr="0062615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26158" w:rsidRPr="00626158" w:rsidRDefault="00626158" w:rsidP="00626158">
            <w:pPr>
              <w:jc w:val="both"/>
              <w:rPr>
                <w:sz w:val="28"/>
                <w:szCs w:val="28"/>
              </w:rPr>
            </w:pPr>
          </w:p>
        </w:tc>
      </w:tr>
    </w:tbl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</w:t>
      </w:r>
      <w:r>
        <w:rPr>
          <w:sz w:val="28"/>
          <w:szCs w:val="28"/>
        </w:rPr>
        <w:t xml:space="preserve"> утвержденной п</w:t>
      </w:r>
      <w:r w:rsidRPr="00626158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26158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муниципального образования </w:t>
      </w:r>
      <w:r>
        <w:rPr>
          <w:sz w:val="28"/>
          <w:szCs w:val="28"/>
        </w:rPr>
        <w:t>«</w:t>
      </w:r>
      <w:r w:rsidRPr="00626158">
        <w:rPr>
          <w:sz w:val="28"/>
          <w:szCs w:val="28"/>
        </w:rPr>
        <w:t>Невельск</w:t>
      </w:r>
      <w:r>
        <w:rPr>
          <w:sz w:val="28"/>
          <w:szCs w:val="28"/>
        </w:rPr>
        <w:t>ий</w:t>
      </w:r>
      <w:r w:rsidRPr="0062615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округ»</w:t>
      </w:r>
      <w:r w:rsidRPr="00626158">
        <w:rPr>
          <w:sz w:val="28"/>
          <w:szCs w:val="28"/>
        </w:rPr>
        <w:t xml:space="preserve">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11.03.2016г., постановлением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администрации Невельского городского округа от 13.04.2016№ 491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 xml:space="preserve">«Об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 на территории </w:t>
      </w:r>
      <w:r>
        <w:rPr>
          <w:sz w:val="28"/>
          <w:szCs w:val="28"/>
        </w:rPr>
        <w:t>муниципального образования</w:t>
      </w:r>
      <w:r w:rsidRPr="00626158">
        <w:rPr>
          <w:sz w:val="28"/>
          <w:szCs w:val="28"/>
        </w:rPr>
        <w:t xml:space="preserve"> «Невельский городской округ», на основании протокола №1 от 13.05.2016г. Заседания Конкурсной комиссии по отбору заявок субъектов малого и среднего предпринимательства на предоставление в 2016 году субсидий на возмещение затрат на открытие собственного дела начинающим субъектам малого предпринимательства, руководствуясь ст.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Default="00626158" w:rsidP="00626158">
      <w:pPr>
        <w:jc w:val="both"/>
        <w:rPr>
          <w:sz w:val="28"/>
          <w:szCs w:val="28"/>
        </w:rPr>
      </w:pPr>
      <w:r w:rsidRPr="00626158">
        <w:rPr>
          <w:sz w:val="28"/>
          <w:szCs w:val="28"/>
        </w:rPr>
        <w:t>ПОСТАНОВЛЯЕТ:</w:t>
      </w: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Произвести распределение субсидии в сумме 1 000 000 рублей в том числе 730 000 руб. из средств, поступивших в местный бюджет из областного бюджета и 270 000 руб. из местного бюджета (в том числе 85 410,0 рублей из средств, предусмотренных на софинансирование муниципальной программы)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 xml:space="preserve">на возмещение затрат на открытие собственного дела начинающим субъектам малого предпринимательства прошедшим отбор: 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1.1. Главе крестьянского (фермерского) хозяйства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Гузак Дмитрию Васильевичу в размере 500,00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тыс. рублей, в том числе 365,0 тыс. руб.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за счет средств, поступивших в местный бюджет из областного бюджета и 135,0 тыс. руб. из местного бюджета;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1.2. Индивидуальному предпринимателю Савельеву Сергею Владимировичу в размере 500,0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в том числе 365,0 тыс. руб. за счет средств, поступивших в местный бюджет из областного бюджета и 135,0 тыс. руб. из местного бюджета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(в том числе 85 410,0 рублей из средств, предусмотренных на софинансирование муниципальной программы).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Администрации Невельского городского округа, в лице комитета экономического развития и потребительского рынка (Гуртовенко И.В.) и юридическому отделу администрации Невельского городского округа (Рябых В.Н.) заключить договоры предоставления субсидий на возмещение затрат на открытие собственного дела начинающим субъектам малого предпринимательства.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3.Администрации Невельского городского округа, в лице отдела учета и отчетности финансовых средств (Горловск</w:t>
      </w:r>
      <w:r>
        <w:rPr>
          <w:sz w:val="28"/>
          <w:szCs w:val="28"/>
        </w:rPr>
        <w:t xml:space="preserve">ая </w:t>
      </w:r>
      <w:r w:rsidRPr="00626158">
        <w:rPr>
          <w:sz w:val="28"/>
          <w:szCs w:val="28"/>
        </w:rPr>
        <w:t>Н.Е.) перечислить субсидии на расчетные счета начинающим субъектам малого предпринимательства, прошедшим отбор, в соответствии с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626158">
        <w:rPr>
          <w:sz w:val="28"/>
          <w:szCs w:val="28"/>
        </w:rPr>
        <w:t xml:space="preserve"> 1 настоящего постановления и</w:t>
      </w:r>
      <w:r>
        <w:rPr>
          <w:sz w:val="28"/>
          <w:szCs w:val="28"/>
        </w:rPr>
        <w:t xml:space="preserve"> </w:t>
      </w:r>
      <w:r w:rsidRPr="00626158">
        <w:rPr>
          <w:sz w:val="28"/>
          <w:szCs w:val="28"/>
        </w:rPr>
        <w:t>заключенными договорами.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4. Разместить</w:t>
      </w:r>
      <w:r>
        <w:rPr>
          <w:sz w:val="28"/>
          <w:szCs w:val="28"/>
        </w:rPr>
        <w:t xml:space="preserve"> настоящее </w:t>
      </w:r>
      <w:r w:rsidRPr="00626158">
        <w:rPr>
          <w:sz w:val="28"/>
          <w:szCs w:val="28"/>
        </w:rPr>
        <w:t>постановление на официальном сайте администрации Невельского городского округа.</w:t>
      </w:r>
    </w:p>
    <w:p w:rsidR="00626158" w:rsidRPr="00626158" w:rsidRDefault="00626158" w:rsidP="00626158">
      <w:pPr>
        <w:ind w:firstLine="708"/>
        <w:jc w:val="both"/>
        <w:rPr>
          <w:sz w:val="28"/>
          <w:szCs w:val="28"/>
        </w:rPr>
      </w:pPr>
      <w:r w:rsidRPr="00626158">
        <w:rPr>
          <w:sz w:val="28"/>
          <w:szCs w:val="28"/>
        </w:rPr>
        <w:t>5. Контроль за исполнением настоящего постановления возложить на вице - мэра Невельского городского округа Сидорук Т.З.</w:t>
      </w: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Pr="00626158" w:rsidRDefault="00626158" w:rsidP="00626158">
      <w:pPr>
        <w:jc w:val="both"/>
        <w:rPr>
          <w:sz w:val="28"/>
          <w:szCs w:val="28"/>
        </w:rPr>
      </w:pPr>
    </w:p>
    <w:p w:rsidR="00626158" w:rsidRDefault="00626158" w:rsidP="00626158">
      <w:pPr>
        <w:jc w:val="both"/>
        <w:rPr>
          <w:sz w:val="28"/>
          <w:szCs w:val="28"/>
        </w:rPr>
      </w:pPr>
      <w:r w:rsidRPr="00626158">
        <w:rPr>
          <w:sz w:val="28"/>
          <w:szCs w:val="28"/>
        </w:rPr>
        <w:t xml:space="preserve">Исполняющий обязанности мэра </w:t>
      </w:r>
    </w:p>
    <w:p w:rsidR="00626158" w:rsidRPr="00626158" w:rsidRDefault="00626158" w:rsidP="00626158">
      <w:pPr>
        <w:jc w:val="both"/>
        <w:rPr>
          <w:sz w:val="28"/>
          <w:szCs w:val="28"/>
        </w:rPr>
      </w:pPr>
      <w:r w:rsidRPr="00626158">
        <w:rPr>
          <w:sz w:val="28"/>
          <w:szCs w:val="28"/>
        </w:rPr>
        <w:t>Невельского городского округа</w:t>
      </w:r>
      <w:r w:rsidRPr="00626158">
        <w:rPr>
          <w:sz w:val="28"/>
          <w:szCs w:val="28"/>
        </w:rPr>
        <w:tab/>
      </w:r>
      <w:r w:rsidRPr="00626158">
        <w:rPr>
          <w:sz w:val="28"/>
          <w:szCs w:val="28"/>
        </w:rPr>
        <w:tab/>
      </w:r>
      <w:r w:rsidRPr="00626158">
        <w:rPr>
          <w:sz w:val="28"/>
          <w:szCs w:val="28"/>
        </w:rPr>
        <w:tab/>
      </w:r>
      <w:r w:rsidRPr="00626158">
        <w:rPr>
          <w:sz w:val="28"/>
          <w:szCs w:val="28"/>
        </w:rPr>
        <w:tab/>
      </w:r>
      <w:r w:rsidRPr="00626158">
        <w:rPr>
          <w:sz w:val="28"/>
          <w:szCs w:val="28"/>
        </w:rPr>
        <w:tab/>
        <w:t>В.Ч.Пан</w:t>
      </w:r>
    </w:p>
    <w:p w:rsidR="00626158" w:rsidRDefault="00626158" w:rsidP="00626158">
      <w:pPr>
        <w:jc w:val="both"/>
      </w:pPr>
    </w:p>
    <w:p w:rsidR="00626158" w:rsidRDefault="00626158" w:rsidP="00626158">
      <w:pPr>
        <w:jc w:val="both"/>
      </w:pPr>
    </w:p>
    <w:sectPr w:rsidR="0062615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71" w:rsidRDefault="00032671">
      <w:r>
        <w:separator/>
      </w:r>
    </w:p>
  </w:endnote>
  <w:endnote w:type="continuationSeparator" w:id="0">
    <w:p w:rsidR="00032671" w:rsidRDefault="0003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71" w:rsidRDefault="00032671">
      <w:r>
        <w:separator/>
      </w:r>
    </w:p>
  </w:footnote>
  <w:footnote w:type="continuationSeparator" w:id="0">
    <w:p w:rsidR="00032671" w:rsidRDefault="0003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19'}"/>
    <w:docVar w:name="attr5#Бланк" w:val="OID_TYPE#"/>
    <w:docVar w:name="attr6#Номер документа" w:val="VARCHAR#718"/>
    <w:docVar w:name="attr7#Дата подписания" w:val="DATE#{d '2016-05-19'}"/>
    <w:docVar w:name="ESED_IDnum" w:val="22/2016-1163"/>
    <w:docVar w:name="ESED_Lock" w:val="0"/>
    <w:docVar w:name="SPD_Annotation" w:val="N 718 от 19.05.2016 22/2016-1163#О предоставлении субсидий на возмещение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19.05.2016"/>
    <w:docVar w:name="SPD_AreaName" w:val="Документ (ЕСЭД)"/>
    <w:docVar w:name="SPD_hostURL" w:val="storm"/>
    <w:docVar w:name="SPD_NumDoc" w:val="620293921"/>
    <w:docVar w:name="SPD_vDir" w:val="spd"/>
  </w:docVars>
  <w:rsids>
    <w:rsidRoot w:val="00626158"/>
    <w:rsid w:val="000169F1"/>
    <w:rsid w:val="00032671"/>
    <w:rsid w:val="004D0C8C"/>
    <w:rsid w:val="00626158"/>
    <w:rsid w:val="008C4FAA"/>
    <w:rsid w:val="00E269BE"/>
    <w:rsid w:val="00E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B9548E-44F9-4351-9062-3BE5E282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5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2615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2615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26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26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615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2025-01-29T05:02:00Z</dcterms:created>
  <dcterms:modified xsi:type="dcterms:W3CDTF">2025-01-29T05:02:00Z</dcterms:modified>
</cp:coreProperties>
</file>