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FC" w:rsidRDefault="00550EEB" w:rsidP="007230F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4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0FC" w:rsidRDefault="007230FC" w:rsidP="007230FC">
      <w:pPr>
        <w:jc w:val="center"/>
        <w:rPr>
          <w:lang w:val="en-US"/>
        </w:rPr>
      </w:pPr>
    </w:p>
    <w:p w:rsidR="007230FC" w:rsidRDefault="007230FC" w:rsidP="007230FC">
      <w:pPr>
        <w:jc w:val="center"/>
        <w:rPr>
          <w:lang w:val="en-US"/>
        </w:rPr>
      </w:pPr>
    </w:p>
    <w:p w:rsidR="007230FC" w:rsidRDefault="007230FC" w:rsidP="007230FC">
      <w:pPr>
        <w:jc w:val="center"/>
        <w:rPr>
          <w:lang w:val="en-US"/>
        </w:rPr>
      </w:pPr>
    </w:p>
    <w:p w:rsidR="007230FC" w:rsidRDefault="007230FC" w:rsidP="007230FC">
      <w:pPr>
        <w:jc w:val="center"/>
        <w:rPr>
          <w:lang w:val="en-US"/>
        </w:rPr>
      </w:pPr>
    </w:p>
    <w:p w:rsidR="007230FC" w:rsidRDefault="007230FC" w:rsidP="007230F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230F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230FC" w:rsidRDefault="007230FC" w:rsidP="00D93579">
            <w:pPr>
              <w:pStyle w:val="7"/>
            </w:pPr>
            <w:r>
              <w:t>ПОСТАНОВЛЕНИЕ</w:t>
            </w:r>
          </w:p>
          <w:p w:rsidR="007230FC" w:rsidRDefault="007230FC" w:rsidP="00D9357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230F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230FC" w:rsidRDefault="00550EEB" w:rsidP="00D9357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0FC" w:rsidRDefault="007230FC" w:rsidP="007230FC">
                                  <w:r>
                                    <w:t>512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230FC" w:rsidRDefault="007230FC" w:rsidP="007230FC">
                            <w:r>
                              <w:t>512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0FC" w:rsidRDefault="007230FC" w:rsidP="007230FC">
                                  <w:r>
                                    <w:t>10.05.2011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230FC" w:rsidRDefault="007230FC" w:rsidP="007230FC">
                            <w:r>
                              <w:t>10.05.2011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0FC">
              <w:rPr>
                <w:rFonts w:ascii="Courier New" w:hAnsi="Courier New" w:cs="Courier New"/>
              </w:rPr>
              <w:t>от              №</w:t>
            </w:r>
          </w:p>
          <w:p w:rsidR="007230FC" w:rsidRDefault="007230FC" w:rsidP="00D9357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230F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230FC" w:rsidRDefault="007230FC" w:rsidP="00D9357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230FC" w:rsidRDefault="007230FC" w:rsidP="00D93579">
            <w:pPr>
              <w:spacing w:after="240"/>
              <w:ind w:left="539"/>
              <w:jc w:val="center"/>
            </w:pPr>
          </w:p>
        </w:tc>
      </w:tr>
      <w:tr w:rsidR="007230FC" w:rsidRPr="008B403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230FC" w:rsidRPr="008B403C" w:rsidRDefault="007230FC" w:rsidP="00D93579">
            <w:pPr>
              <w:jc w:val="both"/>
              <w:rPr>
                <w:sz w:val="28"/>
                <w:szCs w:val="28"/>
              </w:rPr>
            </w:pPr>
            <w:r w:rsidRPr="008B403C">
              <w:rPr>
                <w:sz w:val="28"/>
                <w:szCs w:val="28"/>
              </w:rPr>
              <w:t>О внесении изменений в постановление администрации Невельского муниципального района от 10.12.2009</w:t>
            </w:r>
            <w:r>
              <w:rPr>
                <w:sz w:val="28"/>
                <w:szCs w:val="28"/>
              </w:rPr>
              <w:t>г.</w:t>
            </w:r>
            <w:r w:rsidRPr="008B403C">
              <w:rPr>
                <w:sz w:val="28"/>
                <w:szCs w:val="28"/>
              </w:rPr>
              <w:t xml:space="preserve"> № 656 «Об отнесении и предоставлении жилых помещений муниципального жилищного фонда коммерческого использования Невельского муниципального района»</w:t>
            </w:r>
          </w:p>
        </w:tc>
        <w:tc>
          <w:tcPr>
            <w:tcW w:w="5103" w:type="dxa"/>
          </w:tcPr>
          <w:p w:rsidR="007230FC" w:rsidRPr="008B403C" w:rsidRDefault="007230FC" w:rsidP="00D93579">
            <w:pPr>
              <w:jc w:val="both"/>
              <w:rPr>
                <w:sz w:val="28"/>
                <w:szCs w:val="28"/>
              </w:rPr>
            </w:pPr>
          </w:p>
        </w:tc>
      </w:tr>
      <w:tr w:rsidR="007230FC" w:rsidRPr="008B403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230FC" w:rsidRPr="008B403C" w:rsidRDefault="007230FC" w:rsidP="00D93579">
            <w:pPr>
              <w:jc w:val="both"/>
              <w:rPr>
                <w:sz w:val="28"/>
                <w:szCs w:val="28"/>
              </w:rPr>
            </w:pPr>
          </w:p>
        </w:tc>
      </w:tr>
    </w:tbl>
    <w:p w:rsidR="007230FC" w:rsidRPr="008B403C" w:rsidRDefault="007230FC" w:rsidP="00723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403C">
        <w:rPr>
          <w:sz w:val="28"/>
          <w:szCs w:val="28"/>
        </w:rPr>
        <w:t>В соответствии с главой 35 Гражданского кодекса Российской Федерации, п.п. 4 п. 2 ст. 19 Жи</w:t>
      </w:r>
      <w:r>
        <w:rPr>
          <w:sz w:val="28"/>
          <w:szCs w:val="28"/>
        </w:rPr>
        <w:t>лищного к</w:t>
      </w:r>
      <w:r w:rsidRPr="008B403C">
        <w:rPr>
          <w:sz w:val="28"/>
          <w:szCs w:val="28"/>
        </w:rPr>
        <w:t xml:space="preserve">одекса Российской Федерации, ст. ст. 44, 45 Устава Муниципального образования «Невельский городской округ», в целях реализации прав граждан на жилище и привлечения в бюджет Невельского </w:t>
      </w:r>
      <w:r>
        <w:rPr>
          <w:sz w:val="28"/>
          <w:szCs w:val="28"/>
        </w:rPr>
        <w:t>городского округа</w:t>
      </w:r>
      <w:r w:rsidRPr="008B403C">
        <w:rPr>
          <w:sz w:val="28"/>
          <w:szCs w:val="28"/>
        </w:rPr>
        <w:t xml:space="preserve"> дополнительных средств на обеспечение граждан, нуждающихся в улучшении жилищных условий, за доступную плату муниципальным жильем, администрация Невельского городского округа,</w:t>
      </w: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  <w:r w:rsidRPr="008B403C">
        <w:rPr>
          <w:sz w:val="28"/>
          <w:szCs w:val="28"/>
        </w:rPr>
        <w:t>ПОСТАНОВЛЯЕТ:</w:t>
      </w: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B403C">
        <w:rPr>
          <w:sz w:val="28"/>
          <w:szCs w:val="28"/>
        </w:rPr>
        <w:t>Внести изменения в приложение № 3 «Методика расчета оплаты за найм жилых помещений муниципального жилищного фонда коммерческого использования муниципального образования «Невельский муниципальный район» к постановлению администрации Невельского муни</w:t>
      </w:r>
      <w:r>
        <w:rPr>
          <w:sz w:val="28"/>
          <w:szCs w:val="28"/>
        </w:rPr>
        <w:t>ципального района от 10.12.2009г. № 656</w:t>
      </w:r>
      <w:r w:rsidRPr="008B403C">
        <w:rPr>
          <w:sz w:val="28"/>
          <w:szCs w:val="28"/>
        </w:rPr>
        <w:t xml:space="preserve"> «Об отнесении и предоставлении жилых помещений муниципального жилищного фонда коммерческого использования Невельского муниципального района» и изложить в новой редакции (прилагается).</w:t>
      </w:r>
    </w:p>
    <w:p w:rsidR="007230FC" w:rsidRPr="008B403C" w:rsidRDefault="007230FC" w:rsidP="007230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8B403C">
        <w:rPr>
          <w:sz w:val="28"/>
          <w:szCs w:val="28"/>
        </w:rPr>
        <w:t>Отменить п. 4 постановления администрации Невельского муниципального района от 10.12.2009</w:t>
      </w:r>
      <w:r>
        <w:rPr>
          <w:sz w:val="28"/>
          <w:szCs w:val="28"/>
        </w:rPr>
        <w:t>г.</w:t>
      </w:r>
      <w:r w:rsidRPr="008B403C">
        <w:rPr>
          <w:sz w:val="28"/>
          <w:szCs w:val="28"/>
        </w:rPr>
        <w:t xml:space="preserve"> № 656 «Об отнесении и предоставлении жилых помещений муниципального жилищного фонда коммерческого использования Невельского муниципального района.</w:t>
      </w:r>
    </w:p>
    <w:p w:rsidR="007230FC" w:rsidRPr="008B403C" w:rsidRDefault="007230FC" w:rsidP="00723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8B403C">
        <w:rPr>
          <w:sz w:val="28"/>
          <w:szCs w:val="28"/>
        </w:rPr>
        <w:t>Настоящее постановление опубликовать в газете «Невельские новости» и на официальном Интернет</w:t>
      </w:r>
      <w:r>
        <w:rPr>
          <w:sz w:val="28"/>
          <w:szCs w:val="28"/>
        </w:rPr>
        <w:t xml:space="preserve"> </w:t>
      </w:r>
      <w:r w:rsidRPr="008B40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403C">
        <w:rPr>
          <w:sz w:val="28"/>
          <w:szCs w:val="28"/>
        </w:rPr>
        <w:t>сайте администрации Невельского городского округа.</w:t>
      </w:r>
    </w:p>
    <w:p w:rsidR="007230FC" w:rsidRPr="008B403C" w:rsidRDefault="007230FC" w:rsidP="00723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8B403C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7230FC" w:rsidRDefault="007230FC" w:rsidP="007230FC">
      <w:pPr>
        <w:jc w:val="both"/>
        <w:rPr>
          <w:sz w:val="28"/>
          <w:szCs w:val="28"/>
        </w:rPr>
      </w:pPr>
    </w:p>
    <w:p w:rsidR="007230F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  <w:r w:rsidRPr="008B403C">
        <w:rPr>
          <w:sz w:val="28"/>
          <w:szCs w:val="28"/>
        </w:rPr>
        <w:t xml:space="preserve">Мэр Невельского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 w:rsidRPr="008B403C">
        <w:rPr>
          <w:sz w:val="28"/>
          <w:szCs w:val="28"/>
        </w:rPr>
        <w:tab/>
      </w:r>
      <w:r w:rsidRPr="008B403C">
        <w:rPr>
          <w:sz w:val="28"/>
          <w:szCs w:val="28"/>
        </w:rPr>
        <w:tab/>
      </w:r>
      <w:r w:rsidRPr="008B403C">
        <w:rPr>
          <w:sz w:val="28"/>
          <w:szCs w:val="28"/>
        </w:rPr>
        <w:tab/>
      </w:r>
      <w:r w:rsidRPr="008B403C">
        <w:rPr>
          <w:sz w:val="28"/>
          <w:szCs w:val="28"/>
        </w:rPr>
        <w:tab/>
        <w:t xml:space="preserve"> В.Н. Пак</w:t>
      </w: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Pr="008B403C" w:rsidRDefault="007230FC" w:rsidP="007230FC">
      <w:pPr>
        <w:jc w:val="both"/>
        <w:rPr>
          <w:sz w:val="28"/>
          <w:szCs w:val="28"/>
        </w:rPr>
      </w:pPr>
    </w:p>
    <w:p w:rsidR="007230FC" w:rsidRDefault="007230FC" w:rsidP="007230FC">
      <w:pPr>
        <w:jc w:val="both"/>
        <w:rPr>
          <w:sz w:val="26"/>
          <w:szCs w:val="26"/>
        </w:rPr>
      </w:pPr>
    </w:p>
    <w:p w:rsidR="007230FC" w:rsidRDefault="007230FC" w:rsidP="007230FC">
      <w:pPr>
        <w:jc w:val="both"/>
        <w:rPr>
          <w:sz w:val="26"/>
          <w:szCs w:val="26"/>
        </w:rPr>
      </w:pPr>
    </w:p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Pr="00797784" w:rsidRDefault="007230FC" w:rsidP="007230FC">
      <w:pPr>
        <w:widowControl w:val="0"/>
        <w:jc w:val="right"/>
        <w:rPr>
          <w:sz w:val="28"/>
          <w:szCs w:val="28"/>
        </w:rPr>
      </w:pPr>
      <w:r w:rsidRPr="00797784">
        <w:rPr>
          <w:sz w:val="28"/>
          <w:szCs w:val="28"/>
        </w:rPr>
        <w:t>Приложение № 3</w:t>
      </w:r>
    </w:p>
    <w:p w:rsidR="007230FC" w:rsidRPr="00797784" w:rsidRDefault="007230FC" w:rsidP="007230FC">
      <w:pPr>
        <w:jc w:val="right"/>
        <w:rPr>
          <w:sz w:val="28"/>
          <w:szCs w:val="28"/>
        </w:rPr>
      </w:pPr>
      <w:r w:rsidRPr="00797784">
        <w:rPr>
          <w:sz w:val="28"/>
          <w:szCs w:val="28"/>
        </w:rPr>
        <w:t>к постановлению администрации</w:t>
      </w:r>
    </w:p>
    <w:p w:rsidR="007230FC" w:rsidRPr="00797784" w:rsidRDefault="007230FC" w:rsidP="007230FC">
      <w:pPr>
        <w:jc w:val="right"/>
        <w:rPr>
          <w:sz w:val="28"/>
          <w:szCs w:val="28"/>
        </w:rPr>
      </w:pPr>
      <w:r w:rsidRPr="00797784">
        <w:rPr>
          <w:sz w:val="28"/>
          <w:szCs w:val="28"/>
        </w:rPr>
        <w:t xml:space="preserve">Невельского </w:t>
      </w:r>
      <w:r>
        <w:rPr>
          <w:sz w:val="28"/>
          <w:szCs w:val="28"/>
        </w:rPr>
        <w:t>муниципального района</w:t>
      </w:r>
    </w:p>
    <w:p w:rsidR="007230FC" w:rsidRPr="00797784" w:rsidRDefault="007230FC" w:rsidP="007230FC">
      <w:pPr>
        <w:jc w:val="right"/>
        <w:rPr>
          <w:sz w:val="28"/>
          <w:szCs w:val="28"/>
        </w:rPr>
      </w:pPr>
      <w:r w:rsidRPr="00797784">
        <w:rPr>
          <w:sz w:val="28"/>
          <w:szCs w:val="28"/>
        </w:rPr>
        <w:t xml:space="preserve">от </w:t>
      </w:r>
      <w:r>
        <w:rPr>
          <w:sz w:val="28"/>
          <w:szCs w:val="28"/>
        </w:rPr>
        <w:t>10.12.2009г. № 512</w:t>
      </w:r>
    </w:p>
    <w:p w:rsidR="007230FC" w:rsidRPr="00797784" w:rsidRDefault="007230FC" w:rsidP="007230FC">
      <w:pPr>
        <w:widowControl w:val="0"/>
        <w:jc w:val="right"/>
        <w:rPr>
          <w:sz w:val="28"/>
          <w:szCs w:val="28"/>
        </w:rPr>
      </w:pPr>
    </w:p>
    <w:p w:rsidR="007230FC" w:rsidRPr="00797784" w:rsidRDefault="007230FC" w:rsidP="007230FC">
      <w:pPr>
        <w:widowControl w:val="0"/>
        <w:rPr>
          <w:sz w:val="28"/>
          <w:szCs w:val="28"/>
        </w:rPr>
      </w:pP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МЕТОДИКА</w:t>
      </w: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center"/>
      </w:pPr>
      <w:r>
        <w:rPr>
          <w:rStyle w:val="a6"/>
        </w:rPr>
        <w:t>РАСЧЕТА ОПЛАТЫ ЗА НАЙМ ЖИЛЫХ ПОМЕЩЕНИЙ МУНИЦИПАЛЬНОГО</w:t>
      </w: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center"/>
      </w:pPr>
      <w:r>
        <w:rPr>
          <w:rStyle w:val="a6"/>
        </w:rPr>
        <w:t>ЖИЛИЩНОГО ФОНДА КОММЕРЧЕСКОГО ИСПОЛЬЗОВАНИЯ МУНИЦИПАЛЬНОГО ОБРАЗОВАНИЯ «НЕВЕЛЬСКИЙ ГОРОДСКОЙ ОКРУГ»</w:t>
      </w:r>
    </w:p>
    <w:p w:rsidR="007230FC" w:rsidRDefault="007230FC" w:rsidP="007230FC">
      <w:pPr>
        <w:widowControl w:val="0"/>
      </w:pP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7784">
        <w:rPr>
          <w:b/>
          <w:bCs/>
          <w:sz w:val="28"/>
          <w:szCs w:val="28"/>
        </w:rPr>
        <w:t>I. Общие положения</w:t>
      </w:r>
    </w:p>
    <w:p w:rsidR="007230FC" w:rsidRPr="00797784" w:rsidRDefault="007230FC" w:rsidP="007230FC">
      <w:pPr>
        <w:widowControl w:val="0"/>
        <w:rPr>
          <w:sz w:val="28"/>
          <w:szCs w:val="28"/>
        </w:rPr>
      </w:pP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97784">
        <w:rPr>
          <w:sz w:val="28"/>
          <w:szCs w:val="28"/>
        </w:rPr>
        <w:tab/>
        <w:t>1.1.Настоящая Методика разработана с целью создания методической базы по расчету платы за коммерческий наем.</w:t>
      </w: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97784">
        <w:rPr>
          <w:sz w:val="28"/>
          <w:szCs w:val="28"/>
        </w:rPr>
        <w:tab/>
        <w:t>1.2.Величина платы за коммерческий наем жилых помещений устанавливается дифференцированно в зависимости от качества строительного материала жилого помещения, износа здания, типа строения и места размещения жилого помещения, зонирования, территориальной зоны расположения в границах Муниципального образования «Невельский городской округ», благоустройства жилого помещения, категории нанимателя.</w:t>
      </w: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7784">
        <w:rPr>
          <w:b/>
          <w:bCs/>
          <w:sz w:val="28"/>
          <w:szCs w:val="28"/>
        </w:rPr>
        <w:t>II. Расчет платы за коммерческий наем жилых помещений</w:t>
      </w: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7784">
        <w:rPr>
          <w:b/>
          <w:bCs/>
          <w:sz w:val="28"/>
          <w:szCs w:val="28"/>
        </w:rPr>
        <w:t>жилищного фонда</w:t>
      </w: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97784">
        <w:rPr>
          <w:sz w:val="28"/>
          <w:szCs w:val="28"/>
        </w:rPr>
        <w:tab/>
        <w:t>Месячная плата за коммерческий наем (аренду) жилых помещений жилищного фонда Муниципального образования «Невельский муниципальный район» рассчитывается по следующей формуле:</w:t>
      </w:r>
    </w:p>
    <w:p w:rsidR="007230FC" w:rsidRPr="00797784" w:rsidRDefault="007230FC" w:rsidP="007230FC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7230FC" w:rsidRPr="00E005EE" w:rsidRDefault="007230FC" w:rsidP="007230FC">
      <w:pPr>
        <w:pStyle w:val="a5"/>
        <w:widowControl w:val="0"/>
        <w:spacing w:before="0" w:beforeAutospacing="0" w:after="0" w:afterAutospacing="0"/>
        <w:jc w:val="both"/>
        <w:rPr>
          <w:b/>
          <w:bCs/>
        </w:rPr>
      </w:pPr>
      <w:r w:rsidRPr="00E005EE">
        <w:rPr>
          <w:b/>
          <w:bCs/>
        </w:rPr>
        <w:t>Н =  Аб x S x К1 x К2 x К3 x К4 x К5 x К6 x К7</w:t>
      </w: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  <w:r>
        <w:t>где,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595"/>
      </w:tblGrid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Аб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0991" w:rsidRDefault="007230FC" w:rsidP="00D93579">
            <w:pPr>
              <w:jc w:val="both"/>
              <w:rPr>
                <w:sz w:val="18"/>
                <w:szCs w:val="18"/>
              </w:rPr>
            </w:pPr>
            <w:r>
              <w:t xml:space="preserve">Размер платы за пользование жилым помещением (платы за наем) муниципального жилищного фонда в соответствующем населенном пункте, утвержденный постановлением администрации Невельского </w:t>
            </w:r>
            <w:r w:rsidRPr="00A37EEE">
              <w:t>городского округа;</w:t>
            </w:r>
          </w:p>
        </w:tc>
      </w:tr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S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Общая площадь жилого помещения</w:t>
            </w:r>
            <w:r>
              <w:t>;</w:t>
            </w:r>
          </w:p>
        </w:tc>
      </w:tr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К 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Коэффициент, учитывающий износ здания</w:t>
            </w:r>
            <w:r>
              <w:t>;</w:t>
            </w:r>
          </w:p>
        </w:tc>
      </w:tr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К 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Коэффициент типа строения и места размещения жилого помещения</w:t>
            </w:r>
            <w:r>
              <w:t>;</w:t>
            </w:r>
          </w:p>
        </w:tc>
      </w:tr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 xml:space="preserve">К 3 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Коэффициент зонирования</w:t>
            </w:r>
            <w:r>
              <w:t>;</w:t>
            </w:r>
          </w:p>
        </w:tc>
      </w:tr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К 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Коэффициент благоустройства жилого помещения</w:t>
            </w:r>
            <w:r>
              <w:t>;</w:t>
            </w:r>
          </w:p>
        </w:tc>
      </w:tr>
      <w:tr w:rsidR="007230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К 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Коэффициент, отражающий категорию нанимателя</w:t>
            </w:r>
            <w:r>
              <w:t>.</w:t>
            </w:r>
          </w:p>
        </w:tc>
      </w:tr>
    </w:tbl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  <w:r>
        <w:tab/>
        <w:t>Размер коэффициентов, применяемых для расчета платы за наем жилого помещения, определяется по таблице.</w:t>
      </w: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Default="007230FC" w:rsidP="007230FC">
      <w:pPr>
        <w:pStyle w:val="a5"/>
        <w:widowControl w:val="0"/>
        <w:spacing w:before="0" w:beforeAutospacing="0" w:after="0" w:afterAutospacing="0"/>
        <w:jc w:val="both"/>
      </w:pPr>
    </w:p>
    <w:p w:rsidR="007230FC" w:rsidRDefault="007230FC" w:rsidP="007230FC">
      <w:pPr>
        <w:widowControl w:val="0"/>
        <w:jc w:val="center"/>
        <w:rPr>
          <w:b/>
          <w:bCs/>
        </w:rPr>
      </w:pPr>
    </w:p>
    <w:p w:rsidR="007230FC" w:rsidRPr="00A37EEE" w:rsidRDefault="007230FC" w:rsidP="007230FC">
      <w:pPr>
        <w:widowControl w:val="0"/>
        <w:jc w:val="center"/>
        <w:rPr>
          <w:b/>
          <w:bCs/>
        </w:rPr>
      </w:pPr>
      <w:r w:rsidRPr="00A37EEE">
        <w:rPr>
          <w:b/>
          <w:bCs/>
        </w:rPr>
        <w:t>Коэффициенты для определения платы за коммерческий наем</w:t>
      </w:r>
    </w:p>
    <w:p w:rsidR="007230FC" w:rsidRDefault="007230FC" w:rsidP="007230FC">
      <w:pPr>
        <w:widowControl w:val="0"/>
        <w:jc w:val="center"/>
        <w:rPr>
          <w:b/>
          <w:bCs/>
        </w:rPr>
      </w:pPr>
      <w:r w:rsidRPr="00A37EEE">
        <w:rPr>
          <w:b/>
          <w:bCs/>
        </w:rPr>
        <w:t>жилого помещения</w:t>
      </w:r>
    </w:p>
    <w:p w:rsidR="007230FC" w:rsidRPr="00A37EEE" w:rsidRDefault="007230FC" w:rsidP="007230FC">
      <w:pPr>
        <w:widowControl w:val="0"/>
        <w:jc w:val="center"/>
      </w:pPr>
    </w:p>
    <w:tbl>
      <w:tblPr>
        <w:tblW w:w="5595" w:type="dxa"/>
        <w:tblInd w:w="93" w:type="dxa"/>
        <w:tblLook w:val="0000" w:firstRow="0" w:lastRow="0" w:firstColumn="0" w:lastColumn="0" w:noHBand="0" w:noVBand="0"/>
      </w:tblPr>
      <w:tblGrid>
        <w:gridCol w:w="657"/>
        <w:gridCol w:w="4938"/>
      </w:tblGrid>
      <w:tr w:rsidR="007230FC" w:rsidRPr="00A37EEE">
        <w:trPr>
          <w:trHeight w:val="255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A37EEE" w:rsidRDefault="007230FC" w:rsidP="00D93579">
            <w:pPr>
              <w:rPr>
                <w:b/>
                <w:bCs/>
              </w:rPr>
            </w:pPr>
            <w:r w:rsidRPr="00A37EEE">
              <w:rPr>
                <w:b/>
                <w:bCs/>
              </w:rPr>
              <w:t>К 1 – коэффициент, учитывающий износ здания</w:t>
            </w:r>
          </w:p>
        </w:tc>
      </w:tr>
      <w:tr w:rsidR="007230FC" w:rsidRPr="00A37EEE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1,5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от 0 до 20 процентов;</w:t>
            </w:r>
          </w:p>
        </w:tc>
      </w:tr>
      <w:tr w:rsidR="007230FC" w:rsidRPr="00A37EEE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EEE"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от 21 до 40 процентов;</w:t>
            </w:r>
          </w:p>
        </w:tc>
      </w:tr>
      <w:tr w:rsidR="007230FC" w:rsidRPr="00A37EEE">
        <w:trPr>
          <w:trHeight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от 41 до 60 процентов;</w:t>
            </w:r>
          </w:p>
        </w:tc>
      </w:tr>
      <w:tr w:rsidR="007230FC" w:rsidRPr="00A37EEE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0,2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свыше 60 процентов</w:t>
            </w:r>
          </w:p>
        </w:tc>
      </w:tr>
    </w:tbl>
    <w:p w:rsidR="007230FC" w:rsidRPr="00A37EEE" w:rsidRDefault="007230FC" w:rsidP="007230FC">
      <w:pPr>
        <w:widowControl w:val="0"/>
        <w:jc w:val="both"/>
      </w:pP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900"/>
        <w:gridCol w:w="7395"/>
        <w:gridCol w:w="540"/>
      </w:tblGrid>
      <w:tr w:rsidR="007230FC" w:rsidRPr="00A37EEE">
        <w:trPr>
          <w:trHeight w:val="255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A37EEE" w:rsidRDefault="007230FC" w:rsidP="00D93579">
            <w:pPr>
              <w:rPr>
                <w:b/>
                <w:bCs/>
              </w:rPr>
            </w:pPr>
            <w:r w:rsidRPr="00A37EEE">
              <w:rPr>
                <w:b/>
                <w:bCs/>
              </w:rPr>
              <w:t>К 2 – коэффициент типа строения и места размещения жилого помещения</w:t>
            </w:r>
          </w:p>
        </w:tc>
      </w:tr>
      <w:tr w:rsidR="007230FC" w:rsidRPr="00A37EE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1,5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последующие этажи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</w:pPr>
          </w:p>
        </w:tc>
      </w:tr>
      <w:tr w:rsidR="007230FC" w:rsidRPr="00A37EE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  <w:rPr>
                <w:b/>
                <w:bCs/>
              </w:rPr>
            </w:pPr>
            <w:r w:rsidRPr="00A37EEE">
              <w:rPr>
                <w:b/>
                <w:bCs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A37EEE" w:rsidRDefault="007230FC" w:rsidP="00D93579">
            <w:r w:rsidRPr="00A37EEE">
              <w:t>первый этаж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A37EEE" w:rsidRDefault="007230FC" w:rsidP="00D93579">
            <w:pPr>
              <w:jc w:val="center"/>
            </w:pPr>
          </w:p>
        </w:tc>
      </w:tr>
    </w:tbl>
    <w:p w:rsidR="007230FC" w:rsidRPr="006C6D0C" w:rsidRDefault="007230FC" w:rsidP="007230FC">
      <w:pPr>
        <w:widowControl w:val="0"/>
        <w:jc w:val="both"/>
      </w:pPr>
    </w:p>
    <w:tbl>
      <w:tblPr>
        <w:tblW w:w="4335" w:type="dxa"/>
        <w:tblInd w:w="93" w:type="dxa"/>
        <w:tblLook w:val="0000" w:firstRow="0" w:lastRow="0" w:firstColumn="0" w:lastColumn="0" w:noHBand="0" w:noVBand="0"/>
      </w:tblPr>
      <w:tblGrid>
        <w:gridCol w:w="1579"/>
        <w:gridCol w:w="991"/>
        <w:gridCol w:w="1765"/>
      </w:tblGrid>
      <w:tr w:rsidR="007230FC" w:rsidRPr="006C6D0C">
        <w:trPr>
          <w:trHeight w:val="255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6C6D0C" w:rsidRDefault="007230FC" w:rsidP="00D93579">
            <w:pPr>
              <w:rPr>
                <w:b/>
                <w:bCs/>
              </w:rPr>
            </w:pPr>
            <w:r w:rsidRPr="006C6D0C">
              <w:rPr>
                <w:b/>
                <w:bCs/>
              </w:rPr>
              <w:t>К 3 – коэффициент зонирования</w:t>
            </w:r>
          </w:p>
        </w:tc>
      </w:tr>
      <w:tr w:rsidR="007230FC" w:rsidRPr="006C6D0C">
        <w:trPr>
          <w:trHeight w:val="25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</w:pPr>
            <w:r w:rsidRPr="006C6D0C">
              <w:t xml:space="preserve">А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</w:pPr>
          </w:p>
        </w:tc>
      </w:tr>
      <w:tr w:rsidR="007230FC" w:rsidRPr="006C6D0C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</w:pPr>
            <w:r w:rsidRPr="006C6D0C">
              <w:t>Б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</w:pPr>
          </w:p>
        </w:tc>
      </w:tr>
      <w:tr w:rsidR="007230FC" w:rsidRPr="006C6D0C">
        <w:trPr>
          <w:trHeight w:val="255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</w:pPr>
            <w:r w:rsidRPr="006C6D0C">
              <w:t xml:space="preserve">Г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</w:pPr>
          </w:p>
        </w:tc>
      </w:tr>
    </w:tbl>
    <w:p w:rsidR="007230FC" w:rsidRDefault="007230FC" w:rsidP="007230FC">
      <w:pPr>
        <w:widowControl w:val="0"/>
        <w:jc w:val="both"/>
      </w:pPr>
    </w:p>
    <w:tbl>
      <w:tblPr>
        <w:tblW w:w="9600" w:type="dxa"/>
        <w:tblInd w:w="93" w:type="dxa"/>
        <w:tblLook w:val="0000" w:firstRow="0" w:lastRow="0" w:firstColumn="0" w:lastColumn="0" w:noHBand="0" w:noVBand="0"/>
      </w:tblPr>
      <w:tblGrid>
        <w:gridCol w:w="960"/>
        <w:gridCol w:w="8640"/>
      </w:tblGrid>
      <w:tr w:rsidR="007230FC" w:rsidRPr="006C6D0C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Невельск I зона:</w:t>
            </w:r>
          </w:p>
        </w:tc>
      </w:tr>
      <w:tr w:rsidR="007230FC" w:rsidRPr="006C6D0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0FC" w:rsidRPr="006C6D0C" w:rsidRDefault="007230FC" w:rsidP="00D93579">
            <w:pPr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230FC" w:rsidRPr="006C6D0C" w:rsidRDefault="007230FC" w:rsidP="00D93579">
            <w:r w:rsidRPr="006C6D0C">
              <w:t>ул. Победы, ул. Железнодорожная, ул. Северная, ул. Советская, ул.70 лет Октября, ул.Ленина, ул.Береговая, ул.Школьная, ул.Лесозаводская,  ул.Рыбацкая, ул.Гражданская, ул. Вакканай, ул.Нагорная, ул.Зеленая, ул.Физкультурная, ул.Чехова, ул.Горького, ул.Гоголя, ул.Комсомольская, ул.Казакевича, ул.Яна Фабрициуса, пер.</w:t>
            </w:r>
            <w:r>
              <w:t xml:space="preserve"> </w:t>
            </w:r>
            <w:r w:rsidRPr="006C6D0C">
              <w:t>Правдинский, пер.Почтовый, пер.Нагорный, ул.Морская, ул.Дачная, пер.Тупиковый, пер.Южный, пер.Октябрьский, ул.Речная, ул.Сельская, ул.Лесная</w:t>
            </w:r>
          </w:p>
        </w:tc>
      </w:tr>
      <w:tr w:rsidR="007230FC" w:rsidRPr="006C6D0C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Б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230FC" w:rsidRPr="006C6D0C" w:rsidRDefault="007230FC" w:rsidP="00D93579">
            <w:pPr>
              <w:rPr>
                <w:b/>
                <w:bCs/>
              </w:rPr>
            </w:pPr>
            <w:r w:rsidRPr="006C6D0C">
              <w:rPr>
                <w:b/>
                <w:bCs/>
              </w:rPr>
              <w:t>Горнозаводск, Невельск II зона,</w:t>
            </w:r>
          </w:p>
        </w:tc>
      </w:tr>
      <w:tr w:rsidR="007230FC" w:rsidRPr="006C6D0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0FC" w:rsidRPr="006C6D0C" w:rsidRDefault="007230FC" w:rsidP="00D93579">
            <w:pPr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30FC" w:rsidRPr="006C6D0C" w:rsidRDefault="007230FC" w:rsidP="00D93579">
            <w:r w:rsidRPr="006C6D0C">
              <w:t>ул. Колхозная, ул. Приморская, ул. Ломоносова, ул. Флотская, ул. Пограничная, ул. Надречная</w:t>
            </w:r>
          </w:p>
        </w:tc>
      </w:tr>
      <w:tr w:rsidR="007230FC" w:rsidRPr="006C6D0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Г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30FC" w:rsidRPr="006C6D0C" w:rsidRDefault="007230FC" w:rsidP="00D93579">
            <w:pPr>
              <w:rPr>
                <w:b/>
                <w:bCs/>
              </w:rPr>
            </w:pPr>
            <w:r w:rsidRPr="006C6D0C">
              <w:rPr>
                <w:b/>
                <w:bCs/>
              </w:rPr>
              <w:t xml:space="preserve">п. Шебунино </w:t>
            </w:r>
            <w:r w:rsidRPr="006C6D0C">
              <w:t>и иные населенные пункты Невельского района</w:t>
            </w:r>
          </w:p>
        </w:tc>
      </w:tr>
    </w:tbl>
    <w:p w:rsidR="007230FC" w:rsidRPr="006C6D0C" w:rsidRDefault="007230FC" w:rsidP="007230FC">
      <w:pPr>
        <w:widowControl w:val="0"/>
        <w:jc w:val="both"/>
      </w:pPr>
    </w:p>
    <w:tbl>
      <w:tblPr>
        <w:tblW w:w="6315" w:type="dxa"/>
        <w:tblInd w:w="93" w:type="dxa"/>
        <w:tblLook w:val="0000" w:firstRow="0" w:lastRow="0" w:firstColumn="0" w:lastColumn="0" w:noHBand="0" w:noVBand="0"/>
      </w:tblPr>
      <w:tblGrid>
        <w:gridCol w:w="516"/>
        <w:gridCol w:w="5799"/>
      </w:tblGrid>
      <w:tr w:rsidR="007230FC" w:rsidRPr="006C6D0C">
        <w:trPr>
          <w:trHeight w:val="255"/>
        </w:trPr>
        <w:tc>
          <w:tcPr>
            <w:tcW w:w="6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30FC" w:rsidRPr="006C6D0C" w:rsidRDefault="007230FC" w:rsidP="00D93579">
            <w:pPr>
              <w:rPr>
                <w:b/>
                <w:bCs/>
              </w:rPr>
            </w:pPr>
            <w:r w:rsidRPr="006C6D0C">
              <w:rPr>
                <w:b/>
                <w:bCs/>
              </w:rPr>
              <w:t>К 4 - коэффициент благоустройства жилого помещения</w:t>
            </w:r>
          </w:p>
        </w:tc>
      </w:tr>
      <w:tr w:rsidR="007230FC" w:rsidRPr="006C6D0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центральное отопление, водопровод, канализация</w:t>
            </w:r>
          </w:p>
        </w:tc>
      </w:tr>
      <w:tr w:rsidR="007230FC" w:rsidRPr="006C6D0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0,8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центральное отопление, водопровод</w:t>
            </w:r>
          </w:p>
        </w:tc>
      </w:tr>
      <w:tr w:rsidR="007230FC" w:rsidRPr="006C6D0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0,6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центральное отопление</w:t>
            </w:r>
          </w:p>
        </w:tc>
      </w:tr>
      <w:tr w:rsidR="007230FC" w:rsidRPr="006C6D0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0,4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водопровод</w:t>
            </w:r>
          </w:p>
        </w:tc>
      </w:tr>
      <w:tr w:rsidR="007230FC" w:rsidRPr="006C6D0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0,2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без удобств</w:t>
            </w:r>
          </w:p>
        </w:tc>
      </w:tr>
    </w:tbl>
    <w:p w:rsidR="007230FC" w:rsidRPr="006C6D0C" w:rsidRDefault="007230FC" w:rsidP="007230FC">
      <w:pPr>
        <w:widowControl w:val="0"/>
        <w:jc w:val="both"/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735"/>
        <w:gridCol w:w="8820"/>
      </w:tblGrid>
      <w:tr w:rsidR="007230FC">
        <w:trPr>
          <w:trHeight w:val="25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30FC" w:rsidRPr="006C6D0C" w:rsidRDefault="007230FC" w:rsidP="00D93579">
            <w:pPr>
              <w:rPr>
                <w:rFonts w:ascii="Arial" w:hAnsi="Arial" w:cs="Arial"/>
              </w:rPr>
            </w:pPr>
            <w:r w:rsidRPr="006C6D0C">
              <w:rPr>
                <w:b/>
                <w:bCs/>
              </w:rPr>
              <w:t xml:space="preserve">К 5 - коэффициент, отражающий категорию нанимателя  </w:t>
            </w:r>
          </w:p>
        </w:tc>
      </w:tr>
      <w:tr w:rsidR="007230FC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граждане, состоящие в трудовых отношениях с федеральными органами власти</w:t>
            </w:r>
          </w:p>
        </w:tc>
      </w:tr>
      <w:tr w:rsidR="007230FC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1,2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граждане, состоящие в трудовых отношениях с бюджетными организациями</w:t>
            </w:r>
          </w:p>
        </w:tc>
      </w:tr>
      <w:tr w:rsidR="007230FC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1,5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иные граждане</w:t>
            </w:r>
          </w:p>
        </w:tc>
      </w:tr>
      <w:tr w:rsidR="007230FC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0FC" w:rsidRPr="006C6D0C" w:rsidRDefault="007230FC" w:rsidP="00D93579">
            <w:pPr>
              <w:jc w:val="center"/>
              <w:rPr>
                <w:b/>
                <w:bCs/>
              </w:rPr>
            </w:pPr>
            <w:r w:rsidRPr="006C6D0C">
              <w:rPr>
                <w:b/>
                <w:bCs/>
              </w:rPr>
              <w:t>0,1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0FC" w:rsidRPr="006C6D0C" w:rsidRDefault="007230FC" w:rsidP="00D93579">
            <w:r w:rsidRPr="006C6D0C">
              <w:t>граждане, пострадавшие в результате стихийных бедствий;</w:t>
            </w:r>
          </w:p>
        </w:tc>
      </w:tr>
    </w:tbl>
    <w:p w:rsidR="007230FC" w:rsidRPr="006C6D0C" w:rsidRDefault="007230FC" w:rsidP="007230FC">
      <w:pPr>
        <w:widowControl w:val="0"/>
        <w:jc w:val="both"/>
      </w:pPr>
    </w:p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7230FC" w:rsidRDefault="007230FC" w:rsidP="007230FC"/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E5" w:rsidRDefault="003030E5">
      <w:r>
        <w:separator/>
      </w:r>
    </w:p>
  </w:endnote>
  <w:endnote w:type="continuationSeparator" w:id="0">
    <w:p w:rsidR="003030E5" w:rsidRDefault="003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4"/>
      <w:jc w:val="center"/>
      <w:rPr>
        <w:lang w:val="en-US"/>
      </w:rPr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ПРИЕМНАЯ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>
      <w:rPr>
        <w:noProof/>
        <w:sz w:val="12"/>
        <w:u w:val="single"/>
      </w:rPr>
      <w:t>МАШБЮРО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550EEB">
      <w:rPr>
        <w:noProof/>
        <w:sz w:val="12"/>
        <w:u w:val="single"/>
      </w:rPr>
      <w:t>10.02.2025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550EEB">
      <w:rPr>
        <w:noProof/>
        <w:sz w:val="12"/>
        <w:u w:val="single"/>
      </w:rPr>
      <w:t>9:37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</w:rPr>
      <w:fldChar w:fldCharType="begin"/>
    </w:r>
    <w:r>
      <w:rPr>
        <w:sz w:val="12"/>
      </w:rPr>
      <w:instrText xml:space="preserve"> FILENAME \* Upper\p  \* MERGEFORMAT </w:instrText>
    </w:r>
    <w:r>
      <w:rPr>
        <w:sz w:val="12"/>
      </w:rPr>
      <w:fldChar w:fldCharType="separate"/>
    </w:r>
    <w:r>
      <w:rPr>
        <w:noProof/>
        <w:sz w:val="12"/>
      </w:rPr>
      <w:t>C:\WORD2000\TEMPLATES\NORMAL.DOT</w:t>
    </w:r>
    <w:r>
      <w:rPr>
        <w:sz w:val="12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550EEB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E5" w:rsidRDefault="003030E5">
      <w:r>
        <w:separator/>
      </w:r>
    </w:p>
  </w:footnote>
  <w:footnote w:type="continuationSeparator" w:id="0">
    <w:p w:rsidR="003030E5" w:rsidRDefault="0030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79"/>
    <w:rsid w:val="003030E5"/>
    <w:rsid w:val="00313139"/>
    <w:rsid w:val="003A3B6E"/>
    <w:rsid w:val="004F7EB5"/>
    <w:rsid w:val="00550EEB"/>
    <w:rsid w:val="006C6782"/>
    <w:rsid w:val="007230FC"/>
    <w:rsid w:val="00CA0443"/>
    <w:rsid w:val="00D93579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D10B-53F1-4F50-853A-EBFD16B6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FC"/>
    <w:rPr>
      <w:sz w:val="24"/>
      <w:szCs w:val="24"/>
    </w:rPr>
  </w:style>
  <w:style w:type="paragraph" w:styleId="6">
    <w:name w:val="heading 6"/>
    <w:basedOn w:val="a"/>
    <w:next w:val="a"/>
    <w:qFormat/>
    <w:rsid w:val="007230F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7230F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7230FC"/>
    <w:pPr>
      <w:spacing w:before="100" w:beforeAutospacing="1" w:after="100" w:afterAutospacing="1"/>
    </w:pPr>
  </w:style>
  <w:style w:type="character" w:styleId="a6">
    <w:name w:val="Strong"/>
    <w:basedOn w:val="a0"/>
    <w:qFormat/>
    <w:rsid w:val="0072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Nevelsk. Administration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cp:lastModifiedBy>user</cp:lastModifiedBy>
  <cp:revision>2</cp:revision>
  <dcterms:created xsi:type="dcterms:W3CDTF">2025-02-09T22:37:00Z</dcterms:created>
  <dcterms:modified xsi:type="dcterms:W3CDTF">2025-02-09T22:37:00Z</dcterms:modified>
</cp:coreProperties>
</file>