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DD" w:rsidRDefault="00816CDD" w:rsidP="00816CDD">
      <w:pPr>
        <w:ind w:firstLine="360"/>
        <w:jc w:val="both"/>
        <w:rPr>
          <w:sz w:val="25"/>
          <w:szCs w:val="25"/>
        </w:rPr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714375" cy="857250"/>
            <wp:effectExtent l="19050" t="0" r="9525" b="0"/>
            <wp:docPr id="4" name="Рисунок 1" descr="C:\..\Татьяна\Мои документы\Сессии НрСд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Татьяна\Мои документы\Сессии НрСд\DOC\Nev-gerb.bmp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CDD" w:rsidRDefault="00816CDD" w:rsidP="00816CDD">
      <w:pPr>
        <w:pStyle w:val="7"/>
      </w:pPr>
      <w:r>
        <w:t>РЕШЕНИЕ</w:t>
      </w:r>
    </w:p>
    <w:p w:rsidR="00816CDD" w:rsidRDefault="00816CDD" w:rsidP="00816CDD">
      <w:pPr>
        <w:pStyle w:val="5"/>
        <w:spacing w:before="60" w:after="120"/>
        <w:jc w:val="center"/>
        <w:rPr>
          <w:i w:val="0"/>
          <w:spacing w:val="-20"/>
        </w:rPr>
      </w:pPr>
      <w:r>
        <w:rPr>
          <w:i w:val="0"/>
        </w:rPr>
        <w:t>СОБРАНИЯ НЕВЕЛЬСКОГО ГОРОДСКОГО ОКРУГА</w:t>
      </w:r>
    </w:p>
    <w:p w:rsidR="00816CDD" w:rsidRDefault="00816CDD" w:rsidP="00816CDD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C5E64" w:rsidRDefault="00816CDD" w:rsidP="00AC5E64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</w:t>
      </w:r>
      <w:r w:rsidR="00AC5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  изменений   в    решение</w:t>
      </w:r>
      <w:r w:rsidR="00AC5E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AC5E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Невельского </w:t>
      </w:r>
      <w:r w:rsidR="00AC5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AC5E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округа  </w:t>
      </w:r>
    </w:p>
    <w:p w:rsidR="00AC5E64" w:rsidRDefault="00816CDD" w:rsidP="00AC5E64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C5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21.12.2011г.  № 259</w:t>
      </w:r>
      <w:r w:rsidR="00AC5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  ред.  решения от   05.07.2012г.  №  319) </w:t>
      </w:r>
      <w:r w:rsidR="00AC5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 w:rsidR="00AC5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AC5E64">
        <w:rPr>
          <w:rFonts w:ascii="Times New Roman" w:hAnsi="Times New Roman" w:cs="Times New Roman"/>
          <w:sz w:val="24"/>
          <w:szCs w:val="24"/>
        </w:rPr>
        <w:t xml:space="preserve">тверждении Порядка определения размера арендной платы за использование </w:t>
      </w:r>
      <w:r>
        <w:rPr>
          <w:rFonts w:ascii="Times New Roman" w:hAnsi="Times New Roman" w:cs="Times New Roman"/>
          <w:sz w:val="24"/>
          <w:szCs w:val="24"/>
        </w:rPr>
        <w:t>земельных</w:t>
      </w:r>
      <w:r w:rsidR="00AC5E64">
        <w:rPr>
          <w:rFonts w:ascii="Times New Roman" w:hAnsi="Times New Roman" w:cs="Times New Roman"/>
          <w:sz w:val="24"/>
          <w:szCs w:val="24"/>
        </w:rPr>
        <w:t xml:space="preserve"> участков,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="00AC5E64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C5E6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     </w:t>
      </w:r>
    </w:p>
    <w:p w:rsidR="00816CDD" w:rsidRDefault="00816CDD" w:rsidP="00AC5E64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«Невельский </w:t>
      </w:r>
      <w:r w:rsidR="00AC5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округ».</w:t>
      </w:r>
    </w:p>
    <w:p w:rsidR="00816CDD" w:rsidRDefault="00816CDD" w:rsidP="00816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6CDD" w:rsidRDefault="00816CDD" w:rsidP="00816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82C" w:rsidRDefault="0091782C" w:rsidP="00816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82C" w:rsidRDefault="0091782C" w:rsidP="00816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6CDD" w:rsidRDefault="00747491" w:rsidP="00816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Принято Собранием Невельского городского округа в</w:t>
      </w:r>
      <w:r w:rsidR="00816CDD">
        <w:rPr>
          <w:rFonts w:ascii="Times New Roman" w:hAnsi="Times New Roman" w:cs="Times New Roman"/>
          <w:sz w:val="24"/>
          <w:szCs w:val="24"/>
        </w:rPr>
        <w:t xml:space="preserve"> соответствии с п.3 ст.65 Земельного кодекса Российской Федерации, п.2, п.10 ст.3 Федерального закона от 25.10.2001г. № 137-ФЗ (в ред. от 30.12.2012г.) «О введении в действие Земельного кодекса Российской Федерации», руководствуясь  ст.34 Устава муниципального образования «Невельский городской округ», решением Собрания Невельского городского округа от 05.07.2012г. № 3</w:t>
      </w:r>
      <w:r>
        <w:rPr>
          <w:rFonts w:ascii="Times New Roman" w:hAnsi="Times New Roman" w:cs="Times New Roman"/>
          <w:sz w:val="24"/>
          <w:szCs w:val="24"/>
        </w:rPr>
        <w:t>19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внесении изменений  в решение  Собрания </w:t>
      </w:r>
      <w:r w:rsidR="00816CDD">
        <w:rPr>
          <w:rFonts w:ascii="Times New Roman" w:hAnsi="Times New Roman" w:cs="Times New Roman"/>
          <w:sz w:val="24"/>
          <w:szCs w:val="24"/>
        </w:rPr>
        <w:t>Невельского горо</w:t>
      </w:r>
      <w:r>
        <w:rPr>
          <w:rFonts w:ascii="Times New Roman" w:hAnsi="Times New Roman" w:cs="Times New Roman"/>
          <w:sz w:val="24"/>
          <w:szCs w:val="24"/>
        </w:rPr>
        <w:t xml:space="preserve">дского округа  от 21.12.2011г. № 259 </w:t>
      </w:r>
      <w:r w:rsidR="00816CDD">
        <w:rPr>
          <w:rFonts w:ascii="Times New Roman" w:hAnsi="Times New Roman" w:cs="Times New Roman"/>
          <w:sz w:val="24"/>
          <w:szCs w:val="24"/>
        </w:rPr>
        <w:t>«Об утверждении Порядка определения  размера арендной платы з</w:t>
      </w:r>
      <w:r>
        <w:rPr>
          <w:rFonts w:ascii="Times New Roman" w:hAnsi="Times New Roman" w:cs="Times New Roman"/>
          <w:sz w:val="24"/>
          <w:szCs w:val="24"/>
        </w:rPr>
        <w:t xml:space="preserve">а использование земельных  </w:t>
      </w:r>
      <w:r w:rsidR="00816CDD">
        <w:rPr>
          <w:rFonts w:ascii="Times New Roman" w:hAnsi="Times New Roman" w:cs="Times New Roman"/>
          <w:sz w:val="24"/>
          <w:szCs w:val="24"/>
        </w:rPr>
        <w:t xml:space="preserve">участков, расположенных на территории муниципального  образования  «Невельский городской округ» и с целью установления определения размера арендной платы за использование земельных участков, </w:t>
      </w:r>
      <w:r w:rsidR="0091782C">
        <w:rPr>
          <w:rFonts w:ascii="Times New Roman" w:hAnsi="Times New Roman" w:cs="Times New Roman"/>
          <w:sz w:val="24"/>
          <w:szCs w:val="24"/>
        </w:rPr>
        <w:t>решение № 412 от 30 января 2013 года 91-ой сессией 1 созыва.</w:t>
      </w:r>
      <w:proofErr w:type="gramEnd"/>
    </w:p>
    <w:p w:rsidR="00816CDD" w:rsidRDefault="00816CDD" w:rsidP="00816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82C" w:rsidRDefault="0091782C" w:rsidP="00816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82C" w:rsidRDefault="0091782C" w:rsidP="00816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82C" w:rsidRDefault="0091782C" w:rsidP="00816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CDD" w:rsidRDefault="00816CDD" w:rsidP="009178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решение  Собрания  Невельского городского округа  от 21.12.2011г. № 259  (в ред. решения от 05.07.2012Г. № 319) «Об утверждении Порядка определения размера арендной платы за использование земельных участков, расположенных на территории муниципального образования  «Невельский городской округ» следующие изменения:</w:t>
      </w:r>
    </w:p>
    <w:p w:rsidR="00816CDD" w:rsidRDefault="00816CDD" w:rsidP="009178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1.1.Раздел  3   Порядка  изложить в новой редакции:</w:t>
      </w:r>
    </w:p>
    <w:p w:rsidR="00816CDD" w:rsidRDefault="00816CDD" w:rsidP="00816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«3.Размер арендной платы за использование земельных участков определяется в соответствии с Законом Сахалинской области от 22.11.2011г. № 112-ЗО «О внесении изменений в Закон Сахалинской области «О порядке определения размера арендной платы, порядке, условиях и сроках внесения арендной платы за использование земельных участков на территории Сахалинской области» и рассчитывается по формуле:</w:t>
      </w:r>
      <w:proofErr w:type="gramEnd"/>
    </w:p>
    <w:p w:rsidR="00816CDD" w:rsidRDefault="00816CDD" w:rsidP="00816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А =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Кд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Кинф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816CDD" w:rsidRDefault="00816CDD" w:rsidP="00816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- арендная плата за использование земельного участка, рублей в год; </w:t>
      </w:r>
    </w:p>
    <w:p w:rsidR="00816CDD" w:rsidRDefault="00816CDD" w:rsidP="00816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участка, рублей; утверждается заказчиком работ по определению кадастровой стоимости;</w:t>
      </w:r>
    </w:p>
    <w:p w:rsidR="00816CDD" w:rsidRDefault="00816CDD" w:rsidP="00816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– коэффициент дифференциации по видам деятельности арендатора внутри одного вида функционального использования земельного участка:</w:t>
      </w:r>
    </w:p>
    <w:p w:rsidR="00816CDD" w:rsidRDefault="00816CDD" w:rsidP="00816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коэффициент, зависящий от зоны градостроительной ценности, на территории которой расположен арендуемый земельный участок:</w:t>
      </w:r>
    </w:p>
    <w:p w:rsidR="00816CDD" w:rsidRDefault="00816CDD" w:rsidP="00816CD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коэффициент инфляции. </w:t>
      </w:r>
    </w:p>
    <w:p w:rsidR="00816CDD" w:rsidRDefault="00816CDD" w:rsidP="00816CD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Арендная плата за земельный участок подлежит ежегодной индексации на коэффициент инфляции, равный прогнозируемому уровню инфляции, предусмотренному федеральным бюджетом на очередной финансовый год, за исключением года, в котором начинает применяться актуализированная кадастровая стоимость земельных участков.</w:t>
      </w:r>
    </w:p>
    <w:p w:rsidR="00816CDD" w:rsidRDefault="00816CDD" w:rsidP="00816CD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инфляции на очередной год применяется как произведение соответствующих ежегодных коэффициентов инфляции.</w:t>
      </w:r>
    </w:p>
    <w:p w:rsidR="00816CDD" w:rsidRDefault="00816CDD" w:rsidP="00816CD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актуализированной кадастровой стоимости земельных участков коэффициент инфляции на очередной год применяется как произведение соответствующих ежегодных коэффициентов инфляции, начиная с года, следующего за годом применения актуализированной кадастровой стоимости.</w:t>
      </w:r>
    </w:p>
    <w:p w:rsidR="00816CDD" w:rsidRDefault="00816CDD" w:rsidP="00816CD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tbl>
      <w:tblPr>
        <w:tblW w:w="93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5102"/>
        <w:gridCol w:w="2203"/>
        <w:gridCol w:w="1339"/>
      </w:tblGrid>
      <w:tr w:rsidR="00816CDD" w:rsidTr="00816CDD">
        <w:trPr>
          <w:trHeight w:val="3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Категории земель и виды функционального использования земельных участков виды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Коэффициент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циент</w:t>
            </w:r>
            <w:proofErr w:type="spellEnd"/>
          </w:p>
        </w:tc>
      </w:tr>
      <w:tr w:rsidR="00816CDD" w:rsidTr="00816CDD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cs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Кз</w:t>
            </w:r>
            <w:proofErr w:type="spellEnd"/>
          </w:p>
        </w:tc>
      </w:tr>
      <w:tr w:rsidR="00816CDD" w:rsidTr="00816CDD">
        <w:trPr>
          <w:trHeight w:val="42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1.   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Земли сельскохозяйственного назначения                </w:t>
            </w:r>
          </w:p>
        </w:tc>
      </w:tr>
      <w:tr w:rsidR="00816CDD" w:rsidTr="00816CDD">
        <w:trPr>
          <w:trHeight w:val="168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Земельные участки для размещения сельскохозяйственных предприятий и организаций, крестьянских (фермерских) хозяйств, личных подсобных хозяйств, садоводства, огородничества, животноводства, дачного хозяйства, сенокошения и выпаса скота: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816CDD" w:rsidTr="00816CDD">
        <w:trPr>
          <w:trHeight w:val="36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816CDD" w:rsidTr="00816CDD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4,1</w:t>
            </w:r>
          </w:p>
        </w:tc>
      </w:tr>
      <w:tr w:rsidR="00816CDD" w:rsidTr="00816CDD">
        <w:trPr>
          <w:trHeight w:val="36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816CDD" w:rsidTr="00816CDD">
        <w:trPr>
          <w:trHeight w:val="4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2.   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Земли населенных пунктов                              </w:t>
            </w:r>
          </w:p>
        </w:tc>
      </w:tr>
      <w:tr w:rsidR="00816CDD" w:rsidTr="00816CDD">
        <w:trPr>
          <w:trHeight w:val="44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2.1.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размещения домов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и многоэтажной  жилой застройки: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2,4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</w:tr>
      <w:tr w:rsidR="00816CDD" w:rsidTr="00816CDD">
        <w:trPr>
          <w:trHeight w:val="5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размещения домов малоэтажной застройки, в том числе индивидуальной жилой застройки: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2,6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2,6</w:t>
            </w:r>
          </w:p>
        </w:tc>
      </w:tr>
      <w:tr w:rsidR="00816CDD" w:rsidTr="00816CDD">
        <w:trPr>
          <w:trHeight w:val="75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размещения объектов торговли, общественного питания и бытового обслуживания,  в том числе:           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723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под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объектами розничной торговли, оптовой торговли, торгово-складскими и снабженческо-сбытовыми базами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0,12 - (при площади участка, не более 100 кв.м.)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3,5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816CDD" w:rsidTr="00816CDD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</w:tr>
      <w:tr w:rsidR="00816CDD" w:rsidTr="00816CDD">
        <w:trPr>
          <w:trHeight w:val="36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</w:tr>
      <w:tr w:rsidR="00816CDD" w:rsidTr="00816CDD">
        <w:trPr>
          <w:trHeight w:val="75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под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объектами розничной торговли, оптовой торговли, торгово-складскими и снабженческо-сбытовыми базами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0,05 - (при площади участка, более 100 кв.м.)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36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</w:tr>
      <w:tr w:rsidR="00816CDD" w:rsidTr="00816CDD">
        <w:trPr>
          <w:trHeight w:val="36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816CDD" w:rsidTr="00816CDD">
        <w:trPr>
          <w:trHeight w:val="36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</w:tr>
      <w:tr w:rsidR="00816CDD" w:rsidTr="00816CDD">
        <w:trPr>
          <w:trHeight w:val="36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</w:tr>
      <w:tr w:rsidR="00816CDD" w:rsidTr="00816CDD">
        <w:trPr>
          <w:trHeight w:val="69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под объектами общественного питания и бытового обслуживания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0,12 - (при площади участка, не более 100 кв.м.)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3,5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</w:tr>
      <w:tr w:rsidR="00816CDD" w:rsidTr="00816CDD">
        <w:trPr>
          <w:trHeight w:val="69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под объектами общественного питания и бытового обслуживания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0,05 - (при площади участка, более 100 кв.м.)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3,7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другими объектами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3,5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</w:tr>
      <w:tr w:rsidR="00816CDD" w:rsidTr="00816CDD">
        <w:trPr>
          <w:trHeight w:val="25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размещения гостиниц,            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0,05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гостиничных комплексов, отелей:                        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5,2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5,0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816CDD" w:rsidTr="00816CDD">
        <w:trPr>
          <w:trHeight w:val="130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 2.5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размещения административных  и офисных зданий, объектов образования, здравоохранения, физической культуры и спорта,                культуры, искусства, в том числе: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70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административными, офисными зданиями и другими  объектами образования, здравоохранения, физической   культуры и спорта      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5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816CDD" w:rsidTr="00816CDD">
        <w:trPr>
          <w:trHeight w:val="1174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tabs>
                <w:tab w:val="left" w:pos="4765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- под зданиями аптек и другими объектами  для обеспечения их деятельности, а также под объектами оптовой торговли лекарственными</w:t>
            </w:r>
          </w:p>
          <w:p w:rsidR="00816CDD" w:rsidRDefault="00816CDD">
            <w:pPr>
              <w:tabs>
                <w:tab w:val="left" w:pos="4765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средствами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73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</w:tr>
      <w:tr w:rsidR="00816CDD" w:rsidTr="00816CDD">
        <w:trPr>
          <w:trHeight w:val="789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административными, офисными зданиями и другими  объектами организаций, занимающихся банковской  и страховой деятельностью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другими объектами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816CDD" w:rsidTr="00816CDD">
        <w:trPr>
          <w:trHeight w:val="73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2.6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размещения объектов   рекреационного и лечебно-оздоровительного назначения: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816CDD" w:rsidTr="00816CDD">
        <w:trPr>
          <w:trHeight w:val="169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2.7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     снабжения, сбыта и заготовок, в том числе: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104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производственными базами, дорожно-ремонтными пунктами, а также объектами для обеспечения деятельности предприятий по ремонту и содержанию      автомобильных дорог    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4,1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4,3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</w:tr>
      <w:tr w:rsidR="00816CDD" w:rsidTr="00816CDD">
        <w:trPr>
          <w:trHeight w:val="81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производственными базами, а также объектами     для обеспечения деятельности организаций автосервиса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4,1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4,3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иными производственными базами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4,1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4,3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- под гаражами юридических лиц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3,5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гаражами физических лиц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1,7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1,4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- под автомобильными стоянками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3,5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2,6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</w:tr>
      <w:tr w:rsidR="00816CDD" w:rsidTr="00816CDD">
        <w:trPr>
          <w:trHeight w:val="87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производственными и административными зданиями, фабриками, заводами и складскими помещениями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4,1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4,3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</w:tr>
      <w:tr w:rsidR="00816CDD" w:rsidTr="00816CDD">
        <w:trPr>
          <w:trHeight w:val="27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другими объектами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4,1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4,3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816CDD" w:rsidTr="00816CDD">
        <w:trPr>
          <w:trHeight w:val="77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2.8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размещения электростанций,      обслуживающих их сооружений и объектов: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6,4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7,5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816CDD" w:rsidTr="00816CDD">
        <w:trPr>
          <w:trHeight w:val="819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2.9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размещения аэропортов, аэровокзалов и других объектов воздушного транспорта: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</w:tr>
      <w:tr w:rsidR="00816CDD" w:rsidTr="00816CDD">
        <w:trPr>
          <w:trHeight w:val="102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2.10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разработки полезных ископаемых, размещения трубопроводов и объектов, необходимых для их эксплуатации, а также других линейных объектов: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</w:t>
            </w:r>
          </w:p>
        </w:tc>
      </w:tr>
      <w:tr w:rsidR="00816CDD" w:rsidTr="00816CDD">
        <w:trPr>
          <w:trHeight w:val="34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2.11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Земельные участки для сельскохозяйственного           использования:           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6,4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4,8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4</w:t>
            </w:r>
          </w:p>
        </w:tc>
      </w:tr>
      <w:tr w:rsidR="00816CDD" w:rsidTr="00816CDD">
        <w:trPr>
          <w:trHeight w:val="68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3.   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назначения: </w:t>
            </w:r>
            <w:proofErr w:type="gramEnd"/>
          </w:p>
        </w:tc>
      </w:tr>
      <w:tr w:rsidR="00816CDD" w:rsidTr="00816CDD">
        <w:trPr>
          <w:trHeight w:val="37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производственными и административными зданиями  и складскими помещениями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0,03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производственными базами, заводами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аэропортами, аэровокзалами и другими объектами  воздушного транспорта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0,03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cs="Times New Roman"/>
              </w:rPr>
            </w:pP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 под земельные участки, предназначенные для разработки полезных ископаемых, размещение железнодорожных путей, автомобильных дорог,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искусственно созданных внутренних водных путей, причалов,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транспорта, энергетики и связи; размещение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0,02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cs="Times New Roman"/>
              </w:rPr>
            </w:pPr>
          </w:p>
        </w:tc>
      </w:tr>
      <w:tr w:rsidR="00816CDD" w:rsidTr="00816CDD">
        <w:trPr>
          <w:trHeight w:val="357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8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</w:t>
            </w:r>
          </w:p>
        </w:tc>
      </w:tr>
      <w:tr w:rsidR="00816CDD" w:rsidTr="00816CDD">
        <w:trPr>
          <w:trHeight w:val="4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электростанциями, обслуживающими их сооружениями и объектами            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3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- под другими объектами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4.   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Земли особо охраняемых территорий и объектов          </w:t>
            </w:r>
          </w:p>
        </w:tc>
      </w:tr>
      <w:tr w:rsidR="00816CDD" w:rsidTr="00816CDD">
        <w:trPr>
          <w:trHeight w:val="133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Земельные участки для размещения объектов    особо охраняемых природных территорий, рекреационного и историко-культурного назначения, лечебно-оздоровительных местностей и курортов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0,003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16CDD" w:rsidTr="00816CDD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6,8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5,6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III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5,1</w:t>
            </w:r>
          </w:p>
        </w:tc>
      </w:tr>
      <w:tr w:rsidR="00816CDD" w:rsidTr="00816CDD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DD" w:rsidRDefault="00816CD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IV зона: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DD" w:rsidRDefault="00816CD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CDD" w:rsidRDefault="00816CDD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</w:tr>
    </w:tbl>
    <w:p w:rsidR="00816CDD" w:rsidRDefault="00816CDD" w:rsidP="00816CDD">
      <w:pPr>
        <w:pStyle w:val="a3"/>
        <w:ind w:firstLine="708"/>
        <w:jc w:val="both"/>
        <w:rPr>
          <w:b w:val="0"/>
          <w:sz w:val="24"/>
        </w:rPr>
      </w:pPr>
    </w:p>
    <w:p w:rsidR="00816CDD" w:rsidRDefault="00816CDD" w:rsidP="00816CDD">
      <w:pPr>
        <w:pStyle w:val="a3"/>
        <w:ind w:firstLine="708"/>
        <w:jc w:val="both"/>
        <w:rPr>
          <w:b w:val="0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8481"/>
      </w:tblGrid>
      <w:tr w:rsidR="00816CDD" w:rsidTr="00816CDD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CDD" w:rsidRDefault="00816C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CDD" w:rsidRDefault="00816C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Зоны градостроительной ценности, на территории которой расположен арендуемый земельный участок</w:t>
            </w:r>
          </w:p>
        </w:tc>
      </w:tr>
      <w:tr w:rsidR="00816CDD" w:rsidTr="00816CDD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CDD" w:rsidRDefault="00816C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CDD" w:rsidRDefault="00816C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Невельск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зона:</w:t>
            </w:r>
          </w:p>
          <w:p w:rsidR="00816CDD" w:rsidRDefault="00816C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обеды, ул.Железнодорожная, ул.Северная, ул.Советская, ул.70 лет Октября, ул.Ленина, ул.Береговая, ул.Школьная, ул.Лесозаводская,  ул.Рыбацкая, ул.Гражданская,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ул.Вакканай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ул.Нагорная, ул.Зеленая, ул.Физкультурная, ул.Чехова, ул.Горького, ул.Гоголя, ул.Комсомольская, ул.Казакевича, ул.Яна Фабрициуса, пер.Правдинский, пер.Почтовый, пер.Нагорный, ул.Морская, ул.Дачная, пер.Тупиковый, пер.Южный, пер.Октябрьский, 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ечная, ул.Сельская, ул.Лесная</w:t>
            </w:r>
          </w:p>
        </w:tc>
      </w:tr>
      <w:tr w:rsidR="00816CDD" w:rsidTr="00816CDD">
        <w:trPr>
          <w:cantSplit/>
          <w:trHeight w:val="27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CDD" w:rsidRDefault="00816C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CDD" w:rsidRDefault="00816C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Невельск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зона:</w:t>
            </w:r>
          </w:p>
          <w:p w:rsidR="00816CDD" w:rsidRDefault="00816C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олхозная, ул.Приморская, ул.Ломоносова, ул.Флотская, ул.Пограничная,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ул.Надречная</w:t>
            </w:r>
            <w:proofErr w:type="spellEnd"/>
          </w:p>
        </w:tc>
      </w:tr>
      <w:tr w:rsidR="00816CDD" w:rsidTr="00816CDD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CDD" w:rsidRDefault="00816C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CDD" w:rsidRDefault="00816C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зона:</w:t>
            </w:r>
          </w:p>
          <w:p w:rsidR="00816CDD" w:rsidRDefault="00816C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иные населенные пункты Невельского района   </w:t>
            </w:r>
          </w:p>
        </w:tc>
      </w:tr>
      <w:tr w:rsidR="00816CDD" w:rsidTr="00816CDD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CDD" w:rsidRDefault="00816C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CDD" w:rsidRDefault="00816C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зона:</w:t>
            </w:r>
          </w:p>
          <w:p w:rsidR="00816CDD" w:rsidRDefault="00816C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за пределами населенных пунктов</w:t>
            </w:r>
          </w:p>
        </w:tc>
      </w:tr>
    </w:tbl>
    <w:p w:rsidR="00816CDD" w:rsidRDefault="00816CDD" w:rsidP="00816CDD">
      <w:pPr>
        <w:pStyle w:val="a3"/>
        <w:ind w:firstLine="708"/>
        <w:jc w:val="both"/>
        <w:rPr>
          <w:b w:val="0"/>
          <w:sz w:val="25"/>
          <w:szCs w:val="25"/>
        </w:rPr>
      </w:pPr>
    </w:p>
    <w:p w:rsidR="00816CDD" w:rsidRDefault="00816CDD" w:rsidP="00816CDD">
      <w:pPr>
        <w:pStyle w:val="a3"/>
        <w:ind w:firstLine="708"/>
        <w:jc w:val="both"/>
        <w:rPr>
          <w:b w:val="0"/>
          <w:bCs w:val="0"/>
          <w:sz w:val="24"/>
        </w:rPr>
      </w:pPr>
      <w:r>
        <w:rPr>
          <w:b w:val="0"/>
          <w:sz w:val="24"/>
        </w:rPr>
        <w:lastRenderedPageBreak/>
        <w:t xml:space="preserve">2.Комитету по управлению имуществом администрации Невельского городского округа (Е.Е. </w:t>
      </w:r>
      <w:proofErr w:type="spellStart"/>
      <w:r>
        <w:rPr>
          <w:b w:val="0"/>
          <w:sz w:val="24"/>
        </w:rPr>
        <w:t>Пышненко</w:t>
      </w:r>
      <w:proofErr w:type="spellEnd"/>
      <w:r>
        <w:rPr>
          <w:b w:val="0"/>
          <w:sz w:val="24"/>
        </w:rPr>
        <w:t>) производить расчет  арендной платы за земельные участки, расположенные на территории муниципального образования «Невельский городской округ»  в соответствии с  утвержденным Порядком.</w:t>
      </w:r>
    </w:p>
    <w:p w:rsidR="00816CDD" w:rsidRDefault="00816CDD" w:rsidP="00816CDD">
      <w:pPr>
        <w:pStyle w:val="a3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3.Настоящее решение вступает в силу  с момента подписания.</w:t>
      </w:r>
    </w:p>
    <w:p w:rsidR="00816CDD" w:rsidRDefault="00816CDD" w:rsidP="00816CDD">
      <w:pPr>
        <w:pStyle w:val="a3"/>
        <w:ind w:firstLine="708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4.Действие настоящего решения распространяется на отношения, возникшие из ранее заключенных договоров аренды земельных участков с 01.01.2013 года.</w:t>
      </w:r>
    </w:p>
    <w:p w:rsidR="00816CDD" w:rsidRDefault="0091782C" w:rsidP="00816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5.Настоящее решение опубликовать в газете «Невельские новости» и разместить на официальном Интернет – сайте администрации Невельского городского округа.</w:t>
      </w:r>
      <w:r w:rsidR="00816CDD">
        <w:rPr>
          <w:rFonts w:ascii="Times New Roman" w:hAnsi="Times New Roman" w:cs="Times New Roman"/>
          <w:sz w:val="24"/>
          <w:szCs w:val="24"/>
        </w:rPr>
        <w:tab/>
      </w:r>
      <w:r w:rsidR="00816CDD">
        <w:rPr>
          <w:rFonts w:ascii="Times New Roman" w:hAnsi="Times New Roman" w:cs="Times New Roman"/>
          <w:sz w:val="24"/>
          <w:szCs w:val="24"/>
        </w:rPr>
        <w:tab/>
      </w:r>
    </w:p>
    <w:p w:rsidR="00816CDD" w:rsidRDefault="00816CDD" w:rsidP="00816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CDD" w:rsidRDefault="00816CDD" w:rsidP="00816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CDD" w:rsidRDefault="00816CDD" w:rsidP="00816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DA7CA0" w:rsidRPr="00A978DF" w:rsidRDefault="00DA7CA0" w:rsidP="00DA7CA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DA7CA0" w:rsidRPr="00DA7CA0" w:rsidRDefault="00DA7CA0" w:rsidP="00DA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CA0" w:rsidRPr="00DA7CA0" w:rsidRDefault="00DA7CA0" w:rsidP="00DA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CA0" w:rsidRPr="00DA7CA0" w:rsidRDefault="00DA7CA0" w:rsidP="00DA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A0">
        <w:rPr>
          <w:rFonts w:ascii="Times New Roman" w:hAnsi="Times New Roman" w:cs="Times New Roman"/>
          <w:sz w:val="24"/>
          <w:szCs w:val="24"/>
        </w:rPr>
        <w:t xml:space="preserve">Мэр Невельского городского округа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7CA0">
        <w:rPr>
          <w:rFonts w:ascii="Times New Roman" w:hAnsi="Times New Roman" w:cs="Times New Roman"/>
          <w:sz w:val="24"/>
          <w:szCs w:val="24"/>
        </w:rPr>
        <w:t xml:space="preserve">            В.Н. Пак</w:t>
      </w:r>
    </w:p>
    <w:p w:rsidR="00DA7CA0" w:rsidRPr="00DA7CA0" w:rsidRDefault="00DA7CA0" w:rsidP="00DA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CA0" w:rsidRPr="00222211" w:rsidRDefault="00DA7CA0" w:rsidP="00DA7CA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CA0">
        <w:rPr>
          <w:rFonts w:ascii="Times New Roman" w:hAnsi="Times New Roman" w:cs="Times New Roman"/>
          <w:sz w:val="24"/>
          <w:szCs w:val="24"/>
        </w:rPr>
        <w:t>«</w:t>
      </w:r>
      <w:r w:rsidR="00222211">
        <w:rPr>
          <w:rFonts w:ascii="Times New Roman" w:hAnsi="Times New Roman" w:cs="Times New Roman"/>
          <w:sz w:val="24"/>
          <w:szCs w:val="24"/>
          <w:u w:val="single"/>
        </w:rPr>
        <w:t xml:space="preserve">  01  </w:t>
      </w:r>
      <w:r w:rsidRPr="00DA7CA0">
        <w:rPr>
          <w:rFonts w:ascii="Times New Roman" w:hAnsi="Times New Roman" w:cs="Times New Roman"/>
          <w:sz w:val="24"/>
          <w:szCs w:val="24"/>
        </w:rPr>
        <w:t xml:space="preserve">» </w:t>
      </w:r>
      <w:r w:rsidR="00222211">
        <w:rPr>
          <w:rFonts w:ascii="Times New Roman" w:hAnsi="Times New Roman" w:cs="Times New Roman"/>
          <w:sz w:val="24"/>
          <w:szCs w:val="24"/>
          <w:u w:val="single"/>
        </w:rPr>
        <w:t xml:space="preserve">  февраля  </w:t>
      </w:r>
      <w:r w:rsidRPr="00DA7CA0">
        <w:rPr>
          <w:rFonts w:ascii="Times New Roman" w:hAnsi="Times New Roman" w:cs="Times New Roman"/>
          <w:sz w:val="24"/>
          <w:szCs w:val="24"/>
        </w:rPr>
        <w:t xml:space="preserve"> 2013г. № </w:t>
      </w:r>
      <w:r w:rsidR="00222211">
        <w:rPr>
          <w:rFonts w:ascii="Times New Roman" w:hAnsi="Times New Roman" w:cs="Times New Roman"/>
          <w:sz w:val="24"/>
          <w:szCs w:val="24"/>
        </w:rPr>
        <w:t xml:space="preserve"> </w:t>
      </w:r>
      <w:r w:rsidR="00222211">
        <w:rPr>
          <w:rFonts w:ascii="Times New Roman" w:hAnsi="Times New Roman" w:cs="Times New Roman"/>
          <w:sz w:val="24"/>
          <w:szCs w:val="24"/>
          <w:u w:val="single"/>
        </w:rPr>
        <w:t>412</w:t>
      </w:r>
    </w:p>
    <w:p w:rsidR="00DA7CA0" w:rsidRPr="00DA7CA0" w:rsidRDefault="00DA7CA0" w:rsidP="00DA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CA0" w:rsidRPr="00DA7CA0" w:rsidRDefault="00DA7CA0" w:rsidP="00DA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CA0" w:rsidRPr="00DA7CA0" w:rsidRDefault="00DA7CA0" w:rsidP="00DA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CDD" w:rsidRPr="00DA7CA0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Pr="00DA7CA0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0374A7" w:rsidRDefault="000374A7" w:rsidP="00816CDD">
      <w:pPr>
        <w:pStyle w:val="a3"/>
        <w:jc w:val="left"/>
        <w:rPr>
          <w:b w:val="0"/>
          <w:bCs w:val="0"/>
          <w:sz w:val="24"/>
        </w:rPr>
      </w:pPr>
    </w:p>
    <w:p w:rsidR="000374A7" w:rsidRDefault="000374A7" w:rsidP="00816CDD">
      <w:pPr>
        <w:pStyle w:val="a3"/>
        <w:jc w:val="left"/>
        <w:rPr>
          <w:b w:val="0"/>
          <w:bCs w:val="0"/>
          <w:sz w:val="24"/>
        </w:rPr>
      </w:pPr>
    </w:p>
    <w:p w:rsidR="000374A7" w:rsidRDefault="000374A7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0374A7" w:rsidRDefault="000374A7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p w:rsidR="00816CDD" w:rsidRDefault="00816CDD" w:rsidP="00816CDD">
      <w:pPr>
        <w:pStyle w:val="a3"/>
        <w:jc w:val="left"/>
        <w:rPr>
          <w:b w:val="0"/>
          <w:bCs w:val="0"/>
          <w:sz w:val="24"/>
        </w:rPr>
      </w:pPr>
    </w:p>
    <w:sectPr w:rsidR="00816CDD" w:rsidSect="00C6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FA0"/>
    <w:rsid w:val="00004B4D"/>
    <w:rsid w:val="000374A7"/>
    <w:rsid w:val="00050B13"/>
    <w:rsid w:val="0006681A"/>
    <w:rsid w:val="0006773C"/>
    <w:rsid w:val="000A28AA"/>
    <w:rsid w:val="000D0343"/>
    <w:rsid w:val="000E4EE3"/>
    <w:rsid w:val="001144C3"/>
    <w:rsid w:val="00121F87"/>
    <w:rsid w:val="00162012"/>
    <w:rsid w:val="00173B32"/>
    <w:rsid w:val="001B61B3"/>
    <w:rsid w:val="001D4467"/>
    <w:rsid w:val="00211BA0"/>
    <w:rsid w:val="002161A3"/>
    <w:rsid w:val="00222211"/>
    <w:rsid w:val="002A7C7A"/>
    <w:rsid w:val="002F6ED2"/>
    <w:rsid w:val="00323A1D"/>
    <w:rsid w:val="0033520F"/>
    <w:rsid w:val="00344DAD"/>
    <w:rsid w:val="00383044"/>
    <w:rsid w:val="00406821"/>
    <w:rsid w:val="00433B3F"/>
    <w:rsid w:val="004727D2"/>
    <w:rsid w:val="00477E83"/>
    <w:rsid w:val="004B5A94"/>
    <w:rsid w:val="004C5FC8"/>
    <w:rsid w:val="004C6C69"/>
    <w:rsid w:val="00501CB3"/>
    <w:rsid w:val="00513A19"/>
    <w:rsid w:val="00515269"/>
    <w:rsid w:val="00552259"/>
    <w:rsid w:val="00556470"/>
    <w:rsid w:val="005738F9"/>
    <w:rsid w:val="005D557B"/>
    <w:rsid w:val="005E66A7"/>
    <w:rsid w:val="005F62F7"/>
    <w:rsid w:val="00602566"/>
    <w:rsid w:val="00651D9F"/>
    <w:rsid w:val="00656194"/>
    <w:rsid w:val="00686FA0"/>
    <w:rsid w:val="006F6A07"/>
    <w:rsid w:val="00703E7B"/>
    <w:rsid w:val="00710DE9"/>
    <w:rsid w:val="007422F2"/>
    <w:rsid w:val="00747491"/>
    <w:rsid w:val="00750087"/>
    <w:rsid w:val="007B1A68"/>
    <w:rsid w:val="007B5940"/>
    <w:rsid w:val="00816CDD"/>
    <w:rsid w:val="008A4239"/>
    <w:rsid w:val="008D06CF"/>
    <w:rsid w:val="008E2BBE"/>
    <w:rsid w:val="008F0275"/>
    <w:rsid w:val="008F16C8"/>
    <w:rsid w:val="008F3264"/>
    <w:rsid w:val="0091782C"/>
    <w:rsid w:val="0095473D"/>
    <w:rsid w:val="00982D19"/>
    <w:rsid w:val="009E3B29"/>
    <w:rsid w:val="009F1587"/>
    <w:rsid w:val="00A36980"/>
    <w:rsid w:val="00A978DF"/>
    <w:rsid w:val="00AA356F"/>
    <w:rsid w:val="00AA5D89"/>
    <w:rsid w:val="00AC5E64"/>
    <w:rsid w:val="00AC6C4C"/>
    <w:rsid w:val="00AE4ABF"/>
    <w:rsid w:val="00AF1F7B"/>
    <w:rsid w:val="00B670FA"/>
    <w:rsid w:val="00B71D6A"/>
    <w:rsid w:val="00B7477F"/>
    <w:rsid w:val="00B936D8"/>
    <w:rsid w:val="00BA7C15"/>
    <w:rsid w:val="00BB060A"/>
    <w:rsid w:val="00BD6F9C"/>
    <w:rsid w:val="00BF5B67"/>
    <w:rsid w:val="00C22701"/>
    <w:rsid w:val="00C34ECF"/>
    <w:rsid w:val="00C63945"/>
    <w:rsid w:val="00C6578E"/>
    <w:rsid w:val="00CA2279"/>
    <w:rsid w:val="00CD267B"/>
    <w:rsid w:val="00CF65D6"/>
    <w:rsid w:val="00D34817"/>
    <w:rsid w:val="00D45AC1"/>
    <w:rsid w:val="00D57357"/>
    <w:rsid w:val="00D8667B"/>
    <w:rsid w:val="00D9371C"/>
    <w:rsid w:val="00DA7CA0"/>
    <w:rsid w:val="00DC6DC5"/>
    <w:rsid w:val="00DD7612"/>
    <w:rsid w:val="00DF2AB5"/>
    <w:rsid w:val="00E0673E"/>
    <w:rsid w:val="00E44DB6"/>
    <w:rsid w:val="00E632B4"/>
    <w:rsid w:val="00E86403"/>
    <w:rsid w:val="00EB0ECB"/>
    <w:rsid w:val="00EF734A"/>
    <w:rsid w:val="00F0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8E"/>
  </w:style>
  <w:style w:type="paragraph" w:styleId="5">
    <w:name w:val="heading 5"/>
    <w:basedOn w:val="a"/>
    <w:next w:val="a"/>
    <w:link w:val="50"/>
    <w:semiHidden/>
    <w:unhideWhenUsed/>
    <w:qFormat/>
    <w:rsid w:val="00686F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86FA0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6FA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686FA0"/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styleId="a3">
    <w:name w:val="Title"/>
    <w:basedOn w:val="a"/>
    <w:link w:val="a4"/>
    <w:uiPriority w:val="99"/>
    <w:qFormat/>
    <w:rsid w:val="00686F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686F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86F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86FA0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uiPriority w:val="99"/>
    <w:rsid w:val="00686FA0"/>
    <w:pPr>
      <w:overflowPunct w:val="0"/>
      <w:autoSpaceDE w:val="0"/>
      <w:autoSpaceDN w:val="0"/>
      <w:adjustRightInd w:val="0"/>
      <w:spacing w:after="24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686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86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86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68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F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86FA0"/>
    <w:pPr>
      <w:ind w:left="720"/>
      <w:contextualSpacing/>
    </w:pPr>
  </w:style>
  <w:style w:type="paragraph" w:styleId="a9">
    <w:name w:val="footnote text"/>
    <w:basedOn w:val="a"/>
    <w:link w:val="1"/>
    <w:uiPriority w:val="99"/>
    <w:semiHidden/>
    <w:unhideWhenUsed/>
    <w:rsid w:val="00556470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556470"/>
    <w:rPr>
      <w:sz w:val="20"/>
      <w:szCs w:val="20"/>
    </w:rPr>
  </w:style>
  <w:style w:type="character" w:customStyle="1" w:styleId="1">
    <w:name w:val="Текст сноски Знак1"/>
    <w:basedOn w:val="a0"/>
    <w:link w:val="a9"/>
    <w:uiPriority w:val="99"/>
    <w:semiHidden/>
    <w:locked/>
    <w:rsid w:val="00556470"/>
    <w:rPr>
      <w:rFonts w:ascii="Arial" w:eastAsia="Times New Roman" w:hAnsi="Arial" w:cs="Arial"/>
      <w:sz w:val="24"/>
      <w:szCs w:val="20"/>
      <w:lang w:eastAsia="ar-SA"/>
    </w:rPr>
  </w:style>
  <w:style w:type="character" w:styleId="ab">
    <w:name w:val="Strong"/>
    <w:basedOn w:val="a0"/>
    <w:qFormat/>
    <w:rsid w:val="00556470"/>
    <w:rPr>
      <w:b/>
      <w:bCs/>
    </w:rPr>
  </w:style>
  <w:style w:type="paragraph" w:customStyle="1" w:styleId="ConsPlusCell">
    <w:name w:val="ConsPlusCell"/>
    <w:uiPriority w:val="99"/>
    <w:rsid w:val="00AE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81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16C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16CDD"/>
  </w:style>
  <w:style w:type="paragraph" w:styleId="af">
    <w:name w:val="No Spacing"/>
    <w:uiPriority w:val="1"/>
    <w:qFormat/>
    <w:rsid w:val="0081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semiHidden/>
    <w:rsid w:val="00816CDD"/>
    <w:pPr>
      <w:overflowPunct w:val="0"/>
      <w:autoSpaceDE w:val="0"/>
      <w:autoSpaceDN w:val="0"/>
      <w:adjustRightInd w:val="0"/>
      <w:spacing w:after="24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Название Знак1"/>
    <w:basedOn w:val="a0"/>
    <w:locked/>
    <w:rsid w:val="00816CDD"/>
    <w:rPr>
      <w:rFonts w:ascii="Times New Roman" w:eastAsia="Times New Roman" w:hAnsi="Times New Roman" w:cs="Times New Roman" w:hint="default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..\&#1058;&#1072;&#1090;&#1100;&#1103;&#1085;&#1072;\&#1052;&#1086;&#1080;%20&#1076;&#1086;&#1082;&#1091;&#1084;&#1077;&#1085;&#1090;&#1099;\&#1057;&#1077;&#1089;&#1089;&#1080;&#1080;%20&#1053;&#1088;&#1057;&#1076;\DOC\Nev-gerb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D38A-4EC3-4DF1-A197-5E0B9AD8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199</cp:revision>
  <cp:lastPrinted>2013-01-31T06:15:00Z</cp:lastPrinted>
  <dcterms:created xsi:type="dcterms:W3CDTF">2012-12-10T01:00:00Z</dcterms:created>
  <dcterms:modified xsi:type="dcterms:W3CDTF">2013-03-15T02:16:00Z</dcterms:modified>
</cp:coreProperties>
</file>